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709"/>
        </w:tabs>
        <w:spacing w:line="259" w:lineRule="auto"/>
        <w:ind w:left="1" w:hanging="3"/>
        <w:rPr>
          <w:rFonts w:ascii="Calibri" w:cs="Calibri" w:eastAsia="Calibri" w:hAnsi="Calibri"/>
          <w:color w:val="000000"/>
          <w:sz w:val="32"/>
          <w:szCs w:val="32"/>
        </w:rPr>
      </w:pPr>
      <w:bookmarkStart w:colFirst="0" w:colLast="0" w:name="_gjdgxs" w:id="0"/>
      <w:bookmarkEnd w:id="0"/>
      <w:r w:rsidDel="00000000" w:rsidR="00000000" w:rsidRPr="00000000">
        <w:rPr>
          <w:rFonts w:ascii="Calibri" w:cs="Calibri" w:eastAsia="Calibri" w:hAnsi="Calibri"/>
          <w:b w:val="1"/>
          <w:color w:val="000000"/>
          <w:sz w:val="32"/>
          <w:szCs w:val="32"/>
          <w:rtl w:val="0"/>
        </w:rPr>
        <w:t xml:space="preserve">Framework Schedule 1 (Specification)</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709"/>
        </w:tabs>
        <w:spacing w:after="120" w:before="120" w:line="240" w:lineRule="auto"/>
        <w:ind w:left="0" w:hanging="2"/>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This Schedule sets out what we and our Buyers want.</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709"/>
        </w:tabs>
        <w:spacing w:after="120" w:before="120" w:line="240" w:lineRule="auto"/>
        <w:ind w:left="0" w:hanging="2"/>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Supplier must only provide the Deliverables for the Lot that they have been appointed to.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709"/>
        </w:tabs>
        <w:spacing w:after="120" w:before="120" w:line="240" w:lineRule="auto"/>
        <w:ind w:left="0" w:hanging="2"/>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For all Lots and/or Deliverables, the Supplier must help Buyers comply with any specific applicable Standards of the Buyer.</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709"/>
          <w:tab w:val="left" w:leader="none" w:pos="284"/>
        </w:tabs>
        <w:spacing w:after="120" w:before="120" w:line="240" w:lineRule="auto"/>
        <w:ind w:left="0" w:hanging="2"/>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Deliverables and any Standards set out in Paragraph 1 below may be refined (to the extent permitted and set out in the Order Form) by a Buyer during a Further Competition Procedure to reflect its Deliverable Requirements for a particular Call-Off Contract.</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09"/>
          <w:tab w:val="left" w:leader="none" w:pos="1134"/>
        </w:tabs>
        <w:spacing w:after="120" w:before="120" w:line="240" w:lineRule="auto"/>
        <w:ind w:left="0" w:hanging="2"/>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07">
      <w:pPr>
        <w:tabs>
          <w:tab w:val="left" w:leader="none" w:pos="709"/>
        </w:tabs>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 this Schedule, the following words and phrases shall have the following meanings:</w:t>
      </w:r>
    </w:p>
    <w:tbl>
      <w:tblPr>
        <w:tblStyle w:val="Table1"/>
        <w:tblW w:w="9225.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40"/>
        <w:gridCol w:w="7185"/>
        <w:tblGridChange w:id="0">
          <w:tblGrid>
            <w:gridCol w:w="2040"/>
            <w:gridCol w:w="718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08">
            <w:pPr>
              <w:tabs>
                <w:tab w:val="left" w:leader="none" w:pos="709"/>
              </w:tabs>
              <w:ind w:left="0" w:hanging="2"/>
              <w:jc w:val="left"/>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“Alpha”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09">
            <w:pPr>
              <w:tabs>
                <w:tab w:val="left" w:leader="none" w:pos="709"/>
                <w:tab w:val="left" w:leader="none" w:pos="-179"/>
                <w:tab w:val="left" w:leader="none" w:pos="-9"/>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means the alpha phase of agile delivery described in the Service Manual;</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0A">
            <w:pPr>
              <w:tabs>
                <w:tab w:val="left" w:leader="none" w:pos="709"/>
              </w:tabs>
              <w:ind w:left="0" w:hanging="2"/>
              <w:jc w:val="left"/>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“Application Programming Interface”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0B">
            <w:pPr>
              <w:tabs>
                <w:tab w:val="left" w:leader="none" w:pos="709"/>
                <w:tab w:val="left" w:leader="none" w:pos="-179"/>
                <w:tab w:val="left" w:leader="none" w:pos="-9"/>
              </w:tabs>
              <w:ind w:left="0" w:hanging="2"/>
              <w:rPr>
                <w:rFonts w:ascii="Calibri" w:cs="Calibri" w:eastAsia="Calibri" w:hAnsi="Calibri"/>
                <w:sz w:val="22"/>
                <w:szCs w:val="22"/>
              </w:rPr>
            </w:pPr>
            <w:r w:rsidDel="00000000" w:rsidR="00000000" w:rsidRPr="00000000">
              <w:rPr>
                <w:rFonts w:ascii="Calibri" w:cs="Calibri" w:eastAsia="Calibri" w:hAnsi="Calibri"/>
                <w:sz w:val="22"/>
                <w:szCs w:val="22"/>
                <w:highlight w:val="white"/>
                <w:rtl w:val="0"/>
              </w:rPr>
              <w:t xml:space="preserve">means a type of software interface offering a service to other software.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0C">
            <w:pPr>
              <w:tabs>
                <w:tab w:val="left" w:leader="none" w:pos="709"/>
              </w:tabs>
              <w:ind w:left="0" w:hanging="2"/>
              <w:jc w:val="left"/>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“Beta”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0D">
            <w:pPr>
              <w:tabs>
                <w:tab w:val="left" w:leader="none" w:pos="709"/>
                <w:tab w:val="left" w:leader="none" w:pos="-179"/>
                <w:tab w:val="left" w:leader="none" w:pos="-9"/>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means the beta phase of agile development described in the Service Manual;</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0E">
            <w:pPr>
              <w:tabs>
                <w:tab w:val="left" w:leader="none" w:pos="709"/>
              </w:tabs>
              <w:ind w:left="0" w:hanging="2"/>
              <w:jc w:val="left"/>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“Citizen coder”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0F">
            <w:pPr>
              <w:tabs>
                <w:tab w:val="left" w:leader="none" w:pos="709"/>
                <w:tab w:val="left" w:leader="none" w:pos="-179"/>
                <w:tab w:val="left" w:leader="none" w:pos="-9"/>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means a business or a technology professional </w:t>
            </w:r>
            <w:r w:rsidDel="00000000" w:rsidR="00000000" w:rsidRPr="00000000">
              <w:rPr>
                <w:rFonts w:ascii="Calibri" w:cs="Calibri" w:eastAsia="Calibri" w:hAnsi="Calibri"/>
                <w:sz w:val="22"/>
                <w:szCs w:val="22"/>
                <w:highlight w:val="white"/>
                <w:rtl w:val="0"/>
              </w:rPr>
              <w:t xml:space="preserve">who creates application capabilities for consumption by themselves or others, using tools that are not prohibited by law;</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10">
            <w:pPr>
              <w:tabs>
                <w:tab w:val="left" w:leader="none" w:pos="709"/>
              </w:tabs>
              <w:ind w:left="0" w:hanging="2"/>
              <w:jc w:val="left"/>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“Day Rates”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11">
            <w:pPr>
              <w:widowControl w:val="0"/>
              <w:tabs>
                <w:tab w:val="left" w:leader="none" w:pos="709"/>
              </w:tabs>
              <w:spacing w:after="120" w:before="120" w:lineRule="auto"/>
              <w:ind w:left="0" w:right="57"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an eight (8) hour Working Day, exclusive of breaks including lunch and exclusive of breaks, travel and related expenses and which forms the Framework Price(s) as set out in Framework Schedule 3 (Framework Prices and Charging Structure);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12">
            <w:pPr>
              <w:tabs>
                <w:tab w:val="left" w:leader="none" w:pos="709"/>
              </w:tabs>
              <w:ind w:left="0" w:hanging="2"/>
              <w:jc w:val="left"/>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“DDaT”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13">
            <w:pPr>
              <w:tabs>
                <w:tab w:val="left" w:leader="none" w:pos="709"/>
                <w:tab w:val="left" w:leader="none" w:pos="-179"/>
                <w:tab w:val="left" w:leader="none" w:pos="-9"/>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has the meaning given to it in Paragraph 2.1.8 and 4.1;</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14">
            <w:pPr>
              <w:tabs>
                <w:tab w:val="left" w:leader="none" w:pos="709"/>
              </w:tabs>
              <w:ind w:left="0" w:hanging="2"/>
              <w:jc w:val="left"/>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‘’Design Services Council’’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15">
            <w:pPr>
              <w:tabs>
                <w:tab w:val="left" w:leader="none" w:pos="709"/>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is a voluntary (free of charge) committee run by the Buyer Organisation. Suppliers will attend these sessions, where requested by the Buyer Organisations, and provide input, advice and recommendations that will allow the Buyer Organisation to assess the strategic direction of proposed design ideas.</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16">
            <w:pPr>
              <w:tabs>
                <w:tab w:val="left" w:leader="none" w:pos="709"/>
              </w:tabs>
              <w:ind w:left="0" w:hanging="2"/>
              <w:jc w:val="left"/>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“DevOps”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17">
            <w:pPr>
              <w:tabs>
                <w:tab w:val="left" w:leader="none" w:pos="709"/>
                <w:tab w:val="left" w:leader="none" w:pos="-179"/>
                <w:tab w:val="left" w:leader="none" w:pos="-9"/>
              </w:tabs>
              <w:ind w:left="0" w:hanging="2"/>
              <w:rPr>
                <w:rFonts w:ascii="Calibri" w:cs="Calibri" w:eastAsia="Calibri" w:hAnsi="Calibri"/>
                <w:sz w:val="22"/>
                <w:szCs w:val="22"/>
                <w:highlight w:val="yellow"/>
              </w:rPr>
            </w:pPr>
            <w:r w:rsidDel="00000000" w:rsidR="00000000" w:rsidRPr="00000000">
              <w:rPr>
                <w:rFonts w:ascii="Calibri" w:cs="Calibri" w:eastAsia="Calibri" w:hAnsi="Calibri"/>
                <w:sz w:val="22"/>
                <w:szCs w:val="22"/>
                <w:rtl w:val="0"/>
              </w:rPr>
              <w:t xml:space="preserve">DevOps is a set of practices that combines software development (Dev) and IT operations (Ops). In many cases, this is the name of the team operating a customer’s CI/CD pipelines and managing its environments.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18">
            <w:pPr>
              <w:tabs>
                <w:tab w:val="left" w:leader="none" w:pos="709"/>
              </w:tabs>
              <w:ind w:left="0" w:hanging="2"/>
              <w:jc w:val="left"/>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“DevSecOps”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19">
            <w:pPr>
              <w:tabs>
                <w:tab w:val="left" w:leader="none" w:pos="709"/>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DevSecOps is a combination of DevOps with the addition of security as part of the lifecycle design.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1A">
            <w:pPr>
              <w:tabs>
                <w:tab w:val="left" w:leader="none" w:pos="709"/>
              </w:tabs>
              <w:ind w:left="0" w:hanging="2"/>
              <w:jc w:val="left"/>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‘’Ecosystem SMEs’’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1B">
            <w:pPr>
              <w:tabs>
                <w:tab w:val="left" w:leader="none" w:pos="709"/>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those organisations who are small and medium-sized enterprises (‘SMEs’) and have been approved as a Key Subcontractor.</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1C">
            <w:pPr>
              <w:tabs>
                <w:tab w:val="left" w:leader="none" w:pos="709"/>
              </w:tabs>
              <w:ind w:left="0" w:hanging="2"/>
              <w:jc w:val="left"/>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“Enterprise Service Bus”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1D">
            <w:pPr>
              <w:tabs>
                <w:tab w:val="left" w:leader="none" w:pos="709"/>
                <w:tab w:val="left" w:leader="none" w:pos="-179"/>
                <w:tab w:val="left" w:leader="none" w:pos="-9"/>
              </w:tabs>
              <w:ind w:left="0" w:hanging="2"/>
              <w:rPr>
                <w:rFonts w:ascii="Calibri" w:cs="Calibri" w:eastAsia="Calibri" w:hAnsi="Calibri"/>
                <w:sz w:val="22"/>
                <w:szCs w:val="22"/>
              </w:rPr>
            </w:pPr>
            <w:r w:rsidDel="00000000" w:rsidR="00000000" w:rsidRPr="00000000">
              <w:rPr>
                <w:rFonts w:ascii="Calibri" w:cs="Calibri" w:eastAsia="Calibri" w:hAnsi="Calibri"/>
                <w:sz w:val="22"/>
                <w:szCs w:val="22"/>
                <w:highlight w:val="white"/>
                <w:rtl w:val="0"/>
              </w:rPr>
              <w:t xml:space="preserve">is an architectural pattern whereby a centralised software component performs integrations between applications;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1E">
            <w:pPr>
              <w:tabs>
                <w:tab w:val="left" w:leader="none" w:pos="709"/>
              </w:tabs>
              <w:ind w:left="0" w:hanging="2"/>
              <w:jc w:val="left"/>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Facilitated Citizen Coder </w:t>
            </w:r>
          </w:p>
        </w:tc>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1F">
            <w:pPr>
              <w:tabs>
                <w:tab w:val="left" w:leader="none" w:pos="709"/>
                <w:tab w:val="left" w:leader="none" w:pos="-179"/>
                <w:tab w:val="left" w:leader="none" w:pos="-9"/>
              </w:tabs>
              <w:ind w:left="0" w:hanging="2"/>
              <w:rPr>
                <w:rFonts w:ascii="Calibri" w:cs="Calibri" w:eastAsia="Calibri" w:hAnsi="Calibri"/>
                <w:sz w:val="22"/>
                <w:szCs w:val="22"/>
                <w:highlight w:val="white"/>
              </w:rPr>
            </w:pPr>
            <w:r w:rsidDel="00000000" w:rsidR="00000000" w:rsidRPr="00000000">
              <w:rPr>
                <w:rFonts w:ascii="Calibri" w:cs="Calibri" w:eastAsia="Calibri" w:hAnsi="Calibri"/>
                <w:sz w:val="22"/>
                <w:szCs w:val="22"/>
                <w:rtl w:val="0"/>
              </w:rPr>
              <w:t xml:space="preserve">means a Citizen Coder event facilitated either by the Buyer or a Supplier;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20">
            <w:pPr>
              <w:tabs>
                <w:tab w:val="left" w:leader="none" w:pos="709"/>
              </w:tabs>
              <w:ind w:left="0" w:hanging="2"/>
              <w:jc w:val="left"/>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‘’Gainshare’’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21">
            <w:pPr>
              <w:tabs>
                <w:tab w:val="left" w:leader="none" w:pos="709"/>
              </w:tabs>
              <w:ind w:left="0" w:hanging="2"/>
              <w:rPr>
                <w:rFonts w:ascii="Calibri" w:cs="Calibri" w:eastAsia="Calibri" w:hAnsi="Calibri"/>
                <w:sz w:val="22"/>
                <w:szCs w:val="22"/>
                <w:highlight w:val="yellow"/>
              </w:rPr>
            </w:pPr>
            <w:r w:rsidDel="00000000" w:rsidR="00000000" w:rsidRPr="00000000">
              <w:rPr>
                <w:rFonts w:ascii="Calibri" w:cs="Calibri" w:eastAsia="Calibri" w:hAnsi="Calibri"/>
                <w:sz w:val="22"/>
                <w:szCs w:val="22"/>
                <w:rtl w:val="0"/>
              </w:rPr>
              <w:t xml:space="preserve">is a pricing mechanism which can be used by the Buyer Organisations.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22">
            <w:pPr>
              <w:tabs>
                <w:tab w:val="left" w:leader="none" w:pos="709"/>
              </w:tabs>
              <w:ind w:left="0" w:hanging="2"/>
              <w:jc w:val="left"/>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“GDS”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23">
            <w:pPr>
              <w:tabs>
                <w:tab w:val="left" w:leader="none" w:pos="709"/>
                <w:tab w:val="left" w:leader="none" w:pos="-179"/>
                <w:tab w:val="left" w:leader="none" w:pos="-9"/>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means the Government Digital Service;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24">
            <w:pPr>
              <w:tabs>
                <w:tab w:val="left" w:leader="none" w:pos="709"/>
              </w:tabs>
              <w:ind w:left="0" w:hanging="2"/>
              <w:jc w:val="left"/>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“Hackathon”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25">
            <w:pPr>
              <w:tabs>
                <w:tab w:val="left" w:leader="none" w:pos="709"/>
                <w:tab w:val="left" w:leader="none" w:pos="-179"/>
                <w:tab w:val="left" w:leader="none" w:pos="-9"/>
              </w:tabs>
              <w:ind w:left="0" w:hanging="2"/>
              <w:rPr>
                <w:rFonts w:ascii="Calibri" w:cs="Calibri" w:eastAsia="Calibri" w:hAnsi="Calibri"/>
                <w:sz w:val="22"/>
                <w:szCs w:val="22"/>
              </w:rPr>
            </w:pPr>
            <w:r w:rsidDel="00000000" w:rsidR="00000000" w:rsidRPr="00000000">
              <w:rPr>
                <w:rFonts w:ascii="Calibri" w:cs="Calibri" w:eastAsia="Calibri" w:hAnsi="Calibri"/>
                <w:sz w:val="22"/>
                <w:szCs w:val="22"/>
                <w:highlight w:val="white"/>
                <w:rtl w:val="0"/>
              </w:rPr>
              <w:t xml:space="preserve">means an intensive group session that leverages business ecosystems (internal or external) to create new ideas, prototypes and mobile apps that address business objectives.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26">
            <w:pPr>
              <w:tabs>
                <w:tab w:val="left" w:leader="none" w:pos="709"/>
              </w:tabs>
              <w:ind w:left="0" w:hanging="2"/>
              <w:jc w:val="left"/>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“Hypercare”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27">
            <w:pPr>
              <w:tabs>
                <w:tab w:val="left" w:leader="none" w:pos="709"/>
                <w:tab w:val="left" w:leader="none" w:pos="-179"/>
                <w:tab w:val="left" w:leader="none" w:pos="-9"/>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means a period of focused immediate support after the project go live or commencement date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28">
            <w:pPr>
              <w:tabs>
                <w:tab w:val="left" w:leader="none" w:pos="709"/>
              </w:tabs>
              <w:ind w:left="0" w:hanging="2"/>
              <w:jc w:val="left"/>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“Intelligent Client”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29">
            <w:pPr>
              <w:tabs>
                <w:tab w:val="left" w:leader="none" w:pos="709"/>
                <w:tab w:val="left" w:leader="none" w:pos="-179"/>
                <w:tab w:val="left" w:leader="none" w:pos="-9"/>
              </w:tabs>
              <w:ind w:left="0" w:hanging="2"/>
              <w:rPr>
                <w:rFonts w:ascii="Calibri" w:cs="Calibri" w:eastAsia="Calibri" w:hAnsi="Calibri"/>
                <w:sz w:val="22"/>
                <w:szCs w:val="22"/>
              </w:rPr>
            </w:pPr>
            <w:r w:rsidDel="00000000" w:rsidR="00000000" w:rsidRPr="00000000">
              <w:rPr>
                <w:rFonts w:ascii="Calibri" w:cs="Calibri" w:eastAsia="Calibri" w:hAnsi="Calibri"/>
                <w:sz w:val="22"/>
                <w:szCs w:val="22"/>
                <w:highlight w:val="white"/>
                <w:rtl w:val="0"/>
              </w:rPr>
              <w:t xml:space="preserve">means a team of technology professionals (including commercial/procurement professionals, functional consultants, technical consultants and technical/solution architects) with the skills to both procure and manage services in partnership with its suppliers. Intelligent Client capability means the capability of the organisation to have a clear understanding and knowledge of the product or service being supplied;</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2A">
            <w:pPr>
              <w:tabs>
                <w:tab w:val="left" w:leader="none" w:pos="709"/>
              </w:tabs>
              <w:ind w:left="0" w:hanging="2"/>
              <w:jc w:val="left"/>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“Live”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2B">
            <w:pPr>
              <w:tabs>
                <w:tab w:val="left" w:leader="none" w:pos="709"/>
                <w:tab w:val="left" w:leader="none" w:pos="-179"/>
                <w:tab w:val="left" w:leader="none" w:pos="-9"/>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means the live phase of agile development described in the Service Manual;</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2C">
            <w:pPr>
              <w:tabs>
                <w:tab w:val="left" w:leader="none" w:pos="709"/>
              </w:tabs>
              <w:ind w:left="0" w:hanging="2"/>
              <w:jc w:val="left"/>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‘’Minimum Revenue Commitment’’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2D">
            <w:pPr>
              <w:tabs>
                <w:tab w:val="left" w:leader="none" w:pos="709"/>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is an elective process that can be used by Buyer Organisations as part of their contract management approach. The Buyer Organisation may, as documented in their own contract management documented processes, commit to a minimum revenue commitment for individual Lots, projects or Call-offs. Minimum Revenue Commitment can only be used in designated Lots.</w:t>
            </w:r>
          </w:p>
          <w:p w:rsidR="00000000" w:rsidDel="00000000" w:rsidP="00000000" w:rsidRDefault="00000000" w:rsidRPr="00000000" w14:paraId="0000002E">
            <w:pPr>
              <w:tabs>
                <w:tab w:val="left" w:leader="none" w:pos="709"/>
                <w:tab w:val="left" w:leader="none" w:pos="-179"/>
                <w:tab w:val="left" w:leader="none" w:pos="-9"/>
              </w:tabs>
              <w:ind w:left="0" w:hanging="2"/>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2F">
            <w:pPr>
              <w:tabs>
                <w:tab w:val="left" w:leader="none" w:pos="709"/>
              </w:tabs>
              <w:ind w:left="0" w:hanging="2"/>
              <w:jc w:val="left"/>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‘’Minimum Workshare Commitment’’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30">
            <w:pPr>
              <w:tabs>
                <w:tab w:val="left" w:leader="none" w:pos="709"/>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is an elective process that can be used by the Buyer Organisations as part of their contract management approach. The Buyer organisation may set a minimum workshare commitment level for each Lot, as set out in their own contract management documented process [for the Framework]. Workshare commitment will be designed by the Buyer Organisation and shared with Suppliers prior to formal adoption. Minimum Workshare Commitment can only be used in designated Lots.</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31">
            <w:pPr>
              <w:tabs>
                <w:tab w:val="left" w:leader="none" w:pos="709"/>
              </w:tabs>
              <w:ind w:left="0" w:hanging="2"/>
              <w:jc w:val="left"/>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“Open Standards Principles”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32">
            <w:pPr>
              <w:tabs>
                <w:tab w:val="left" w:leader="none" w:pos="709"/>
                <w:tab w:val="left" w:leader="none" w:pos="-179"/>
                <w:tab w:val="left" w:leader="none" w:pos="-9"/>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means the Cabinet Offices’ Open Standards principles located at: </w:t>
            </w:r>
            <w:hyperlink r:id="rId6">
              <w:r w:rsidDel="00000000" w:rsidR="00000000" w:rsidRPr="00000000">
                <w:rPr>
                  <w:rFonts w:ascii="Calibri" w:cs="Calibri" w:eastAsia="Calibri" w:hAnsi="Calibri"/>
                  <w:sz w:val="22"/>
                  <w:szCs w:val="22"/>
                  <w:u w:val="single"/>
                  <w:rtl w:val="0"/>
                </w:rPr>
                <w:t xml:space="preserve">https://www.gov.uk/government/publications/open-standards-principles/open-standards-principles</w:t>
              </w:r>
            </w:hyperlink>
            <w:r w:rsidDel="00000000" w:rsidR="00000000" w:rsidRPr="00000000">
              <w:rPr>
                <w:rFonts w:ascii="Calibri" w:cs="Calibri" w:eastAsia="Calibri" w:hAnsi="Calibri"/>
                <w:sz w:val="22"/>
                <w:szCs w:val="22"/>
                <w:rtl w:val="0"/>
              </w:rPr>
              <w:t xml:space="preserve">;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33">
            <w:pPr>
              <w:tabs>
                <w:tab w:val="left" w:leader="none" w:pos="709"/>
              </w:tabs>
              <w:ind w:left="0" w:hanging="2"/>
              <w:jc w:val="left"/>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“Service Manual”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34">
            <w:pPr>
              <w:tabs>
                <w:tab w:val="left" w:leader="none" w:pos="709"/>
                <w:tab w:val="left" w:leader="none" w:pos="-179"/>
                <w:tab w:val="left" w:leader="none" w:pos="-9"/>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means the GDS Service Manual, located at: </w:t>
            </w:r>
            <w:hyperlink r:id="rId7">
              <w:r w:rsidDel="00000000" w:rsidR="00000000" w:rsidRPr="00000000">
                <w:rPr>
                  <w:rFonts w:ascii="Calibri" w:cs="Calibri" w:eastAsia="Calibri" w:hAnsi="Calibri"/>
                  <w:sz w:val="22"/>
                  <w:szCs w:val="22"/>
                  <w:u w:val="single"/>
                  <w:rtl w:val="0"/>
                </w:rPr>
                <w:t xml:space="preserve">https://www.gov.uk/service-manual</w:t>
              </w:r>
            </w:hyperlink>
            <w:r w:rsidDel="00000000" w:rsidR="00000000" w:rsidRPr="00000000">
              <w:rPr>
                <w:rFonts w:ascii="Calibri" w:cs="Calibri" w:eastAsia="Calibri" w:hAnsi="Calibri"/>
                <w:sz w:val="22"/>
                <w:szCs w:val="22"/>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35">
            <w:pPr>
              <w:tabs>
                <w:tab w:val="left" w:leader="none" w:pos="709"/>
              </w:tabs>
              <w:ind w:left="0" w:hanging="2"/>
              <w:jc w:val="left"/>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“Service Standard”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36">
            <w:pPr>
              <w:tabs>
                <w:tab w:val="left" w:leader="none" w:pos="709"/>
                <w:tab w:val="left" w:leader="none" w:pos="-179"/>
                <w:tab w:val="left" w:leader="none" w:pos="-9"/>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means the Service Standard section of the Service Manual located at: </w:t>
            </w:r>
            <w:hyperlink r:id="rId8">
              <w:r w:rsidDel="00000000" w:rsidR="00000000" w:rsidRPr="00000000">
                <w:rPr>
                  <w:rFonts w:ascii="Calibri" w:cs="Calibri" w:eastAsia="Calibri" w:hAnsi="Calibri"/>
                  <w:sz w:val="22"/>
                  <w:szCs w:val="22"/>
                  <w:u w:val="single"/>
                  <w:rtl w:val="0"/>
                </w:rPr>
                <w:t xml:space="preserve">https://www.gov.uk/service-manual/service-standard</w:t>
              </w:r>
            </w:hyperlink>
            <w:r w:rsidDel="00000000" w:rsidR="00000000" w:rsidRPr="00000000">
              <w:rPr>
                <w:rFonts w:ascii="Calibri" w:cs="Calibri" w:eastAsia="Calibri" w:hAnsi="Calibri"/>
                <w:sz w:val="22"/>
                <w:szCs w:val="22"/>
                <w:rtl w:val="0"/>
              </w:rPr>
              <w:t xml:space="preserve">;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37">
            <w:pPr>
              <w:tabs>
                <w:tab w:val="left" w:leader="none" w:pos="709"/>
              </w:tabs>
              <w:ind w:left="0" w:hanging="2"/>
              <w:jc w:val="left"/>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“SFIA”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38">
            <w:pPr>
              <w:tabs>
                <w:tab w:val="left" w:leader="none" w:pos="709"/>
                <w:tab w:val="left" w:leader="none" w:pos="-179"/>
                <w:tab w:val="left" w:leader="none" w:pos="-9"/>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means the Skills Framework for the Information Age, located at: </w:t>
            </w:r>
            <w:hyperlink r:id="rId9">
              <w:r w:rsidDel="00000000" w:rsidR="00000000" w:rsidRPr="00000000">
                <w:rPr>
                  <w:rFonts w:ascii="Calibri" w:cs="Calibri" w:eastAsia="Calibri" w:hAnsi="Calibri"/>
                  <w:sz w:val="22"/>
                  <w:szCs w:val="22"/>
                  <w:u w:val="single"/>
                  <w:rtl w:val="0"/>
                </w:rPr>
                <w:t xml:space="preserve">https://sfia-online.org/en</w:t>
              </w:r>
            </w:hyperlink>
            <w:r w:rsidDel="00000000" w:rsidR="00000000" w:rsidRPr="00000000">
              <w:rPr>
                <w:rFonts w:ascii="Calibri" w:cs="Calibri" w:eastAsia="Calibri" w:hAnsi="Calibri"/>
                <w:sz w:val="22"/>
                <w:szCs w:val="22"/>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39">
            <w:pPr>
              <w:tabs>
                <w:tab w:val="left" w:leader="none" w:pos="709"/>
              </w:tabs>
              <w:ind w:left="0" w:hanging="2"/>
              <w:jc w:val="left"/>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‘’SME Passthrough’’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3A">
            <w:pPr>
              <w:tabs>
                <w:tab w:val="left" w:leader="none" w:pos="709"/>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is an elective process that can be used by the Buyer Organisations as part of their contract management approach. Suppliers that enter into a Call-off which mandates the use of SME Passthrough process will be required  to use Ecosystem SMEs. The Minimum Revenue Commitment in an SME Passthrough context will require the Supplier to commit to a minimum revenue passing through the SMEs as part of the Call-off. SME Passthrough can only be used in designated Lots.</w:t>
            </w:r>
          </w:p>
        </w:tc>
      </w:tr>
      <w:tr>
        <w:trPr>
          <w:cantSplit w:val="0"/>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03B">
            <w:pPr>
              <w:keepNext w:val="1"/>
              <w:tabs>
                <w:tab w:val="left" w:leader="none" w:pos="709"/>
              </w:tabs>
              <w:spacing w:after="120" w:lineRule="auto"/>
              <w:ind w:left="0" w:hanging="2"/>
              <w:jc w:val="left"/>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“Strat-hack”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3C">
            <w:pPr>
              <w:tabs>
                <w:tab w:val="left" w:leader="none" w:pos="709"/>
                <w:tab w:val="left" w:leader="none" w:pos="-179"/>
                <w:tab w:val="left" w:leader="none" w:pos="-9"/>
              </w:tabs>
              <w:spacing w:after="120" w:lineRule="auto"/>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means a collaborative effort to unlock and accelerate opportunities </w:t>
            </w:r>
          </w:p>
        </w:tc>
      </w:tr>
      <w:tr>
        <w:trPr>
          <w:cantSplit w:val="0"/>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03D">
            <w:pPr>
              <w:keepNext w:val="1"/>
              <w:tabs>
                <w:tab w:val="left" w:leader="none" w:pos="709"/>
              </w:tabs>
              <w:spacing w:after="120" w:lineRule="auto"/>
              <w:ind w:left="0" w:hanging="2"/>
              <w:jc w:val="left"/>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‘’Taxi Rank’’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3E">
            <w:pPr>
              <w:tabs>
                <w:tab w:val="left" w:leader="none" w:pos="709"/>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is an elective process that can be used by the Buyer Organisations as part of their contract management approach. This process could include one or more value pots and may be specific to the services within each Lot. Subject to the contract management conditions for each Lot, Suppliers will be allocated by the Buyer Organisation to a single phase of a call-off activity based on an allocation process designed by the Buyer Organisation and shared with participating Suppliers. Taxi Rank can only be used in designated Lots.</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3F">
            <w:pPr>
              <w:tabs>
                <w:tab w:val="left" w:leader="none" w:pos="709"/>
              </w:tabs>
              <w:ind w:left="0" w:hanging="2"/>
              <w:jc w:val="left"/>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“Technology Code of Practice”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3.0" w:type="dxa"/>
              <w:bottom w:w="113.0" w:type="dxa"/>
              <w:right w:w="113.0" w:type="dxa"/>
            </w:tcMar>
            <w:vAlign w:val="center"/>
          </w:tcPr>
          <w:p w:rsidR="00000000" w:rsidDel="00000000" w:rsidP="00000000" w:rsidRDefault="00000000" w:rsidRPr="00000000" w14:paraId="00000040">
            <w:pPr>
              <w:tabs>
                <w:tab w:val="left" w:leader="none" w:pos="709"/>
                <w:tab w:val="left" w:leader="none" w:pos="-179"/>
                <w:tab w:val="left" w:leader="none" w:pos="-9"/>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means the GDS Technology Code of Practice located at </w:t>
            </w:r>
            <w:hyperlink r:id="rId10">
              <w:r w:rsidDel="00000000" w:rsidR="00000000" w:rsidRPr="00000000">
                <w:rPr>
                  <w:rFonts w:ascii="Calibri" w:cs="Calibri" w:eastAsia="Calibri" w:hAnsi="Calibri"/>
                  <w:sz w:val="22"/>
                  <w:szCs w:val="22"/>
                  <w:u w:val="single"/>
                  <w:rtl w:val="0"/>
                </w:rPr>
                <w:t xml:space="preserve">https://www.gov.uk/government/publications/technology-code-of-practice/technology-code-of-practice</w:t>
              </w:r>
            </w:hyperlink>
            <w:r w:rsidDel="00000000" w:rsidR="00000000" w:rsidRPr="00000000">
              <w:rPr>
                <w:rFonts w:ascii="Calibri" w:cs="Calibri" w:eastAsia="Calibri" w:hAnsi="Calibri"/>
                <w:sz w:val="22"/>
                <w:szCs w:val="22"/>
                <w:rtl w:val="0"/>
              </w:rPr>
              <w:t xml:space="preserve">; </w:t>
            </w:r>
          </w:p>
        </w:tc>
      </w:tr>
    </w:tbl>
    <w:p w:rsidR="00000000" w:rsidDel="00000000" w:rsidP="00000000" w:rsidRDefault="00000000" w:rsidRPr="00000000" w14:paraId="00000041">
      <w:pPr>
        <w:tabs>
          <w:tab w:val="left" w:leader="none" w:pos="709"/>
        </w:tabs>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42">
      <w:pPr>
        <w:tabs>
          <w:tab w:val="left" w:leader="none" w:pos="709"/>
        </w:tabs>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43">
      <w:pPr>
        <w:tabs>
          <w:tab w:val="left" w:leader="none" w:pos="709"/>
        </w:tabs>
        <w:ind w:left="0" w:hanging="1"/>
        <w:rPr>
          <w:rFonts w:ascii="Calibri" w:cs="Calibri" w:eastAsia="Calibri" w:hAnsi="Calibri"/>
          <w:color w:val="000000"/>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44">
      <w:pPr>
        <w:shd w:fill="ffffff" w:val="clear"/>
        <w:tabs>
          <w:tab w:val="left" w:leader="none" w:pos="709"/>
        </w:tabs>
        <w:ind w:left="1" w:hanging="3"/>
        <w:rPr>
          <w:rFonts w:ascii="Calibri" w:cs="Calibri" w:eastAsia="Calibri" w:hAnsi="Calibri"/>
          <w:color w:val="000000"/>
          <w:sz w:val="32"/>
          <w:szCs w:val="32"/>
        </w:rPr>
      </w:pPr>
      <w:r w:rsidDel="00000000" w:rsidR="00000000" w:rsidRPr="00000000">
        <w:rPr>
          <w:rFonts w:ascii="Calibri" w:cs="Calibri" w:eastAsia="Calibri" w:hAnsi="Calibri"/>
          <w:color w:val="000000"/>
          <w:sz w:val="32"/>
          <w:szCs w:val="32"/>
          <w:rtl w:val="0"/>
        </w:rPr>
        <w:t xml:space="preserve">1.</w:t>
      </w:r>
      <w:r w:rsidDel="00000000" w:rsidR="00000000" w:rsidRPr="00000000">
        <w:rPr>
          <w:rFonts w:ascii="Calibri" w:cs="Calibri" w:eastAsia="Calibri" w:hAnsi="Calibri"/>
          <w:b w:val="1"/>
          <w:color w:val="000000"/>
          <w:sz w:val="32"/>
          <w:szCs w:val="32"/>
          <w:rtl w:val="0"/>
        </w:rPr>
        <w:t xml:space="preserve">Introduction</w:t>
      </w:r>
      <w:r w:rsidDel="00000000" w:rsidR="00000000" w:rsidRPr="00000000">
        <w:rPr>
          <w:rtl w:val="0"/>
        </w:rPr>
      </w:r>
    </w:p>
    <w:p w:rsidR="00000000" w:rsidDel="00000000" w:rsidP="00000000" w:rsidRDefault="00000000" w:rsidRPr="00000000" w14:paraId="00000045">
      <w:pPr>
        <w:shd w:fill="ffffff" w:val="clear"/>
        <w:tabs>
          <w:tab w:val="left" w:leader="none" w:pos="709"/>
        </w:tabs>
        <w:spacing w:after="120" w:before="12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Suppliers under the Framework are required to provide one or more of the following Lots:</w:t>
      </w:r>
    </w:p>
    <w:p w:rsidR="00000000" w:rsidDel="00000000" w:rsidP="00000000" w:rsidRDefault="00000000" w:rsidRPr="00000000" w14:paraId="00000046">
      <w:pPr>
        <w:shd w:fill="ffffff" w:val="clear"/>
        <w:tabs>
          <w:tab w:val="left" w:leader="none" w:pos="709"/>
        </w:tabs>
        <w:spacing w:after="120" w:before="12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1.1</w:t>
        <w:tab/>
        <w:t xml:space="preserve">Lot 1: </w:t>
      </w:r>
      <w:hyperlink r:id="rId11">
        <w:r w:rsidDel="00000000" w:rsidR="00000000" w:rsidRPr="00000000">
          <w:rPr>
            <w:rFonts w:ascii="Calibri" w:cs="Calibri" w:eastAsia="Calibri" w:hAnsi="Calibri"/>
            <w:color w:val="000000"/>
            <w:sz w:val="22"/>
            <w:szCs w:val="22"/>
            <w:rtl w:val="0"/>
          </w:rPr>
          <w:t xml:space="preserve"> value realisation and design services</w:t>
        </w:r>
      </w:hyperlink>
      <w:r w:rsidDel="00000000" w:rsidR="00000000" w:rsidRPr="00000000">
        <w:rPr>
          <w:rFonts w:ascii="Calibri" w:cs="Calibri" w:eastAsia="Calibri" w:hAnsi="Calibri"/>
          <w:color w:val="000000"/>
          <w:sz w:val="22"/>
          <w:szCs w:val="22"/>
          <w:rtl w:val="0"/>
        </w:rPr>
        <w:t xml:space="preserve">;</w:t>
      </w:r>
    </w:p>
    <w:p w:rsidR="00000000" w:rsidDel="00000000" w:rsidP="00000000" w:rsidRDefault="00000000" w:rsidRPr="00000000" w14:paraId="00000047">
      <w:pPr>
        <w:shd w:fill="ffffff" w:val="clear"/>
        <w:tabs>
          <w:tab w:val="left" w:leader="none" w:pos="709"/>
        </w:tabs>
        <w:spacing w:after="120" w:before="12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1.2</w:t>
        <w:tab/>
        <w:t xml:space="preserve">Lot 2a:</w:t>
      </w:r>
      <w:r w:rsidDel="00000000" w:rsidR="00000000" w:rsidRPr="00000000">
        <w:rPr>
          <w:rFonts w:ascii="Calibri" w:cs="Calibri" w:eastAsia="Calibri" w:hAnsi="Calibri"/>
          <w:b w:val="1"/>
          <w:color w:val="000000"/>
          <w:sz w:val="22"/>
          <w:szCs w:val="22"/>
          <w:rtl w:val="0"/>
        </w:rPr>
        <w:t xml:space="preserve"> </w:t>
      </w:r>
      <w:r w:rsidDel="00000000" w:rsidR="00000000" w:rsidRPr="00000000">
        <w:rPr>
          <w:rFonts w:ascii="Calibri" w:cs="Calibri" w:eastAsia="Calibri" w:hAnsi="Calibri"/>
          <w:color w:val="000000"/>
          <w:sz w:val="22"/>
          <w:szCs w:val="22"/>
          <w:rtl w:val="0"/>
        </w:rPr>
        <w:t xml:space="preserve">digital, integration and programme application services (large scale); </w:t>
      </w:r>
    </w:p>
    <w:p w:rsidR="00000000" w:rsidDel="00000000" w:rsidP="00000000" w:rsidRDefault="00000000" w:rsidRPr="00000000" w14:paraId="00000048">
      <w:pPr>
        <w:shd w:fill="ffffff" w:val="clear"/>
        <w:tabs>
          <w:tab w:val="left" w:leader="none" w:pos="709"/>
        </w:tabs>
        <w:spacing w:after="120" w:before="12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1.3</w:t>
        <w:tab/>
        <w:t xml:space="preserve">Lot 2b: digital, integration and programme application services;</w:t>
      </w:r>
    </w:p>
    <w:p w:rsidR="00000000" w:rsidDel="00000000" w:rsidP="00000000" w:rsidRDefault="00000000" w:rsidRPr="00000000" w14:paraId="00000049">
      <w:pPr>
        <w:shd w:fill="ffffff" w:val="clear"/>
        <w:tabs>
          <w:tab w:val="left" w:leader="none" w:pos="709"/>
        </w:tabs>
        <w:spacing w:after="120" w:before="12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1.4</w:t>
        <w:tab/>
        <w:t xml:space="preserve">Lot 3: digital, application and integration run services;</w:t>
      </w:r>
    </w:p>
    <w:p w:rsidR="00000000" w:rsidDel="00000000" w:rsidP="00000000" w:rsidRDefault="00000000" w:rsidRPr="00000000" w14:paraId="0000004A">
      <w:pPr>
        <w:shd w:fill="ffffff" w:val="clear"/>
        <w:tabs>
          <w:tab w:val="left" w:leader="none" w:pos="709"/>
        </w:tabs>
        <w:spacing w:after="120" w:before="12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1.5</w:t>
        <w:tab/>
        <w:t xml:space="preserve">Lot 4a: multi product configuration services;</w:t>
      </w:r>
    </w:p>
    <w:p w:rsidR="00000000" w:rsidDel="00000000" w:rsidP="00000000" w:rsidRDefault="00000000" w:rsidRPr="00000000" w14:paraId="0000004B">
      <w:pPr>
        <w:shd w:fill="ffffff" w:val="clear"/>
        <w:tabs>
          <w:tab w:val="left" w:leader="none" w:pos="709"/>
        </w:tabs>
        <w:spacing w:after="120" w:before="12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1.6</w:t>
        <w:tab/>
        <w:t xml:space="preserve">Lot 4b: specialist product configuration services; and</w:t>
      </w:r>
    </w:p>
    <w:p w:rsidR="00000000" w:rsidDel="00000000" w:rsidP="00000000" w:rsidRDefault="00000000" w:rsidRPr="00000000" w14:paraId="0000004C">
      <w:pPr>
        <w:shd w:fill="ffffff" w:val="clear"/>
        <w:tabs>
          <w:tab w:val="left" w:leader="none" w:pos="709"/>
        </w:tabs>
        <w:spacing w:after="120" w:before="12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1.7</w:t>
        <w:tab/>
        <w:t xml:space="preserve">Lot 5: capability pipeline services. </w:t>
      </w:r>
    </w:p>
    <w:p w:rsidR="00000000" w:rsidDel="00000000" w:rsidP="00000000" w:rsidRDefault="00000000" w:rsidRPr="00000000" w14:paraId="0000004D">
      <w:pPr>
        <w:shd w:fill="ffffff" w:val="clear"/>
        <w:tabs>
          <w:tab w:val="left" w:leader="none" w:pos="709"/>
        </w:tabs>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4E">
      <w:pPr>
        <w:numPr>
          <w:ilvl w:val="0"/>
          <w:numId w:val="8"/>
        </w:numPr>
        <w:shd w:fill="ffffff" w:val="clear"/>
        <w:tabs>
          <w:tab w:val="left" w:leader="none" w:pos="709"/>
        </w:tabs>
        <w:ind w:left="1" w:hanging="3"/>
        <w:rPr>
          <w:rFonts w:ascii="Calibri" w:cs="Calibri" w:eastAsia="Calibri" w:hAnsi="Calibri"/>
          <w:color w:val="000000"/>
        </w:rPr>
      </w:pPr>
      <w:r w:rsidDel="00000000" w:rsidR="00000000" w:rsidRPr="00000000">
        <w:rPr>
          <w:rFonts w:ascii="Calibri" w:cs="Calibri" w:eastAsia="Calibri" w:hAnsi="Calibri"/>
          <w:b w:val="1"/>
          <w:color w:val="000000"/>
          <w:sz w:val="32"/>
          <w:szCs w:val="32"/>
          <w:rtl w:val="0"/>
        </w:rPr>
        <w:t xml:space="preserve">Scope of Services</w:t>
      </w:r>
      <w:r w:rsidDel="00000000" w:rsidR="00000000" w:rsidRPr="00000000">
        <w:rPr>
          <w:rtl w:val="0"/>
        </w:rPr>
      </w:r>
    </w:p>
    <w:p w:rsidR="00000000" w:rsidDel="00000000" w:rsidP="00000000" w:rsidRDefault="00000000" w:rsidRPr="00000000" w14:paraId="0000004F">
      <w:pPr>
        <w:numPr>
          <w:ilvl w:val="1"/>
          <w:numId w:val="8"/>
        </w:numPr>
        <w:shd w:fill="ffffff" w:val="clear"/>
        <w:tabs>
          <w:tab w:val="left" w:leader="none" w:pos="709"/>
        </w:tabs>
        <w:spacing w:line="240" w:lineRule="auto"/>
        <w:ind w:left="0" w:hanging="2"/>
        <w:rPr>
          <w:color w:val="000000"/>
        </w:rPr>
      </w:pPr>
      <w:bookmarkStart w:colFirst="0" w:colLast="0" w:name="_30j0zll" w:id="1"/>
      <w:bookmarkEnd w:id="1"/>
      <w:r w:rsidDel="00000000" w:rsidR="00000000" w:rsidRPr="00000000">
        <w:rPr>
          <w:rFonts w:ascii="Calibri" w:cs="Calibri" w:eastAsia="Calibri" w:hAnsi="Calibri"/>
          <w:b w:val="1"/>
          <w:color w:val="000000"/>
          <w:sz w:val="22"/>
          <w:szCs w:val="22"/>
          <w:rtl w:val="0"/>
        </w:rPr>
        <w:t xml:space="preserve">Service Provision 1: (Lot 1) </w:t>
      </w:r>
      <w:hyperlink r:id="rId12">
        <w:r w:rsidDel="00000000" w:rsidR="00000000" w:rsidRPr="00000000">
          <w:rPr>
            <w:rFonts w:ascii="Calibri" w:cs="Calibri" w:eastAsia="Calibri" w:hAnsi="Calibri"/>
            <w:b w:val="1"/>
            <w:color w:val="000000"/>
            <w:sz w:val="22"/>
            <w:szCs w:val="22"/>
            <w:rtl w:val="0"/>
          </w:rPr>
          <w:t xml:space="preserve">Value Realisation and Design Services</w:t>
        </w:r>
      </w:hyperlink>
      <w:r w:rsidDel="00000000" w:rsidR="00000000" w:rsidRPr="00000000">
        <w:rPr>
          <w:rtl w:val="0"/>
        </w:rPr>
      </w:r>
    </w:p>
    <w:p w:rsidR="00000000" w:rsidDel="00000000" w:rsidP="00000000" w:rsidRDefault="00000000" w:rsidRPr="00000000" w14:paraId="00000050">
      <w:pPr>
        <w:numPr>
          <w:ilvl w:val="2"/>
          <w:numId w:val="8"/>
        </w:numPr>
        <w:shd w:fill="ffffff" w:val="clear"/>
        <w:tabs>
          <w:tab w:val="left" w:leader="none" w:pos="709"/>
        </w:tabs>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Where requested by the Buyer, Suppliers will provide a range of Services and will deliver value realisation and design services to the Buyer. Services may include but are not limited to:</w:t>
      </w:r>
      <w:r w:rsidDel="00000000" w:rsidR="00000000" w:rsidRPr="00000000">
        <w:rPr>
          <w:rtl w:val="0"/>
        </w:rPr>
      </w:r>
    </w:p>
    <w:p w:rsidR="00000000" w:rsidDel="00000000" w:rsidP="00000000" w:rsidRDefault="00000000" w:rsidRPr="00000000" w14:paraId="00000051">
      <w:pPr>
        <w:numPr>
          <w:ilvl w:val="3"/>
          <w:numId w:val="8"/>
        </w:numPr>
        <w:tabs>
          <w:tab w:val="left" w:leader="none" w:pos="709"/>
        </w:tabs>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Capability analysis and support;</w:t>
      </w:r>
      <w:r w:rsidDel="00000000" w:rsidR="00000000" w:rsidRPr="00000000">
        <w:rPr>
          <w:rtl w:val="0"/>
        </w:rPr>
      </w:r>
    </w:p>
    <w:p w:rsidR="00000000" w:rsidDel="00000000" w:rsidP="00000000" w:rsidRDefault="00000000" w:rsidRPr="00000000" w14:paraId="00000052">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Enterprise architecture advice, design and delivery support;</w:t>
      </w:r>
      <w:r w:rsidDel="00000000" w:rsidR="00000000" w:rsidRPr="00000000">
        <w:rPr>
          <w:rtl w:val="0"/>
        </w:rPr>
      </w:r>
    </w:p>
    <w:p w:rsidR="00000000" w:rsidDel="00000000" w:rsidP="00000000" w:rsidRDefault="00000000" w:rsidRPr="00000000" w14:paraId="00000053">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Service, technical and solution architecture advice, design and delivery support;</w:t>
      </w:r>
      <w:r w:rsidDel="00000000" w:rsidR="00000000" w:rsidRPr="00000000">
        <w:rPr>
          <w:rtl w:val="0"/>
        </w:rPr>
      </w:r>
    </w:p>
    <w:p w:rsidR="00000000" w:rsidDel="00000000" w:rsidP="00000000" w:rsidRDefault="00000000" w:rsidRPr="00000000" w14:paraId="00000054">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Operating model assessment, design and delivery support;</w:t>
      </w:r>
      <w:r w:rsidDel="00000000" w:rsidR="00000000" w:rsidRPr="00000000">
        <w:rPr>
          <w:rtl w:val="0"/>
        </w:rPr>
      </w:r>
    </w:p>
    <w:p w:rsidR="00000000" w:rsidDel="00000000" w:rsidP="00000000" w:rsidRDefault="00000000" w:rsidRPr="00000000" w14:paraId="00000055">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Strategy assessment, design and delivery;</w:t>
      </w:r>
      <w:r w:rsidDel="00000000" w:rsidR="00000000" w:rsidRPr="00000000">
        <w:rPr>
          <w:rtl w:val="0"/>
        </w:rPr>
      </w:r>
    </w:p>
    <w:p w:rsidR="00000000" w:rsidDel="00000000" w:rsidP="00000000" w:rsidRDefault="00000000" w:rsidRPr="00000000" w14:paraId="00000056">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Delivery orchestration partnering;</w:t>
      </w:r>
      <w:r w:rsidDel="00000000" w:rsidR="00000000" w:rsidRPr="00000000">
        <w:rPr>
          <w:rtl w:val="0"/>
        </w:rPr>
      </w:r>
    </w:p>
    <w:p w:rsidR="00000000" w:rsidDel="00000000" w:rsidP="00000000" w:rsidRDefault="00000000" w:rsidRPr="00000000" w14:paraId="00000057">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Service design;</w:t>
      </w:r>
      <w:r w:rsidDel="00000000" w:rsidR="00000000" w:rsidRPr="00000000">
        <w:rPr>
          <w:rtl w:val="0"/>
        </w:rPr>
      </w:r>
    </w:p>
    <w:p w:rsidR="00000000" w:rsidDel="00000000" w:rsidP="00000000" w:rsidRDefault="00000000" w:rsidRPr="00000000" w14:paraId="00000058">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Supplier supported problem solving;</w:t>
      </w:r>
      <w:r w:rsidDel="00000000" w:rsidR="00000000" w:rsidRPr="00000000">
        <w:rPr>
          <w:rtl w:val="0"/>
        </w:rPr>
      </w:r>
    </w:p>
    <w:p w:rsidR="00000000" w:rsidDel="00000000" w:rsidP="00000000" w:rsidRDefault="00000000" w:rsidRPr="00000000" w14:paraId="00000059">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Design Services Council;</w:t>
      </w:r>
      <w:r w:rsidDel="00000000" w:rsidR="00000000" w:rsidRPr="00000000">
        <w:rPr>
          <w:rtl w:val="0"/>
        </w:rPr>
      </w:r>
    </w:p>
    <w:p w:rsidR="00000000" w:rsidDel="00000000" w:rsidP="00000000" w:rsidRDefault="00000000" w:rsidRPr="00000000" w14:paraId="0000005A">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Knowledge transfer and skills development; </w:t>
      </w:r>
      <w:r w:rsidDel="00000000" w:rsidR="00000000" w:rsidRPr="00000000">
        <w:rPr>
          <w:rtl w:val="0"/>
        </w:rPr>
      </w:r>
    </w:p>
    <w:p w:rsidR="00000000" w:rsidDel="00000000" w:rsidP="00000000" w:rsidRDefault="00000000" w:rsidRPr="00000000" w14:paraId="0000005B">
      <w:pPr>
        <w:numPr>
          <w:ilvl w:val="3"/>
          <w:numId w:val="8"/>
        </w:numPr>
        <w:tabs>
          <w:tab w:val="left" w:leader="none" w:pos="709"/>
        </w:tabs>
        <w:spacing w:after="200" w:line="240" w:lineRule="auto"/>
        <w:ind w:left="0" w:hanging="2"/>
        <w:jc w:val="left"/>
        <w:rPr>
          <w:rFonts w:ascii="Calibri" w:cs="Calibri" w:eastAsia="Calibri" w:hAnsi="Calibri"/>
          <w:strike w:val="1"/>
          <w:color w:val="c00000"/>
        </w:rPr>
      </w:pPr>
      <w:bookmarkStart w:colFirst="0" w:colLast="0" w:name="_1fob9te" w:id="2"/>
      <w:bookmarkEnd w:id="2"/>
      <w:r w:rsidDel="00000000" w:rsidR="00000000" w:rsidRPr="00000000">
        <w:rPr>
          <w:rFonts w:ascii="Calibri" w:cs="Calibri" w:eastAsia="Calibri" w:hAnsi="Calibri"/>
          <w:strike w:val="1"/>
          <w:color w:val="c00000"/>
          <w:sz w:val="22"/>
          <w:szCs w:val="22"/>
          <w:rtl w:val="0"/>
        </w:rPr>
        <w:t xml:space="preserve">Hardware and software asset management.</w:t>
      </w:r>
      <w:r w:rsidDel="00000000" w:rsidR="00000000" w:rsidRPr="00000000">
        <w:rPr>
          <w:rtl w:val="0"/>
        </w:rPr>
      </w:r>
    </w:p>
    <w:p w:rsidR="00000000" w:rsidDel="00000000" w:rsidP="00000000" w:rsidRDefault="00000000" w:rsidRPr="00000000" w14:paraId="0000005C">
      <w:pPr>
        <w:numPr>
          <w:ilvl w:val="2"/>
          <w:numId w:val="8"/>
        </w:numPr>
        <w:tabs>
          <w:tab w:val="left" w:leader="none" w:pos="709"/>
        </w:tabs>
        <w:spacing w:line="240" w:lineRule="auto"/>
        <w:ind w:left="0" w:hanging="2"/>
        <w:jc w:val="left"/>
        <w:rPr>
          <w:rFonts w:ascii="Calibri" w:cs="Calibri" w:eastAsia="Calibri" w:hAnsi="Calibri"/>
          <w:color w:val="000000"/>
        </w:rPr>
      </w:pPr>
      <w:bookmarkStart w:colFirst="0" w:colLast="0" w:name="_3znysh7" w:id="3"/>
      <w:bookmarkEnd w:id="3"/>
      <w:r w:rsidDel="00000000" w:rsidR="00000000" w:rsidRPr="00000000">
        <w:rPr>
          <w:rFonts w:ascii="Calibri" w:cs="Calibri" w:eastAsia="Calibri" w:hAnsi="Calibri"/>
          <w:color w:val="000000"/>
          <w:sz w:val="22"/>
          <w:szCs w:val="22"/>
          <w:rtl w:val="0"/>
        </w:rPr>
        <w:t xml:space="preserve">Capability Analysis and Support</w:t>
      </w:r>
      <w:r w:rsidDel="00000000" w:rsidR="00000000" w:rsidRPr="00000000">
        <w:rPr>
          <w:rtl w:val="0"/>
        </w:rPr>
      </w:r>
    </w:p>
    <w:p w:rsidR="00000000" w:rsidDel="00000000" w:rsidP="00000000" w:rsidRDefault="00000000" w:rsidRPr="00000000" w14:paraId="0000005D">
      <w:pPr>
        <w:numPr>
          <w:ilvl w:val="3"/>
          <w:numId w:val="8"/>
        </w:numPr>
        <w:tabs>
          <w:tab w:val="left" w:leader="none" w:pos="709"/>
        </w:tabs>
        <w:ind w:left="0" w:hanging="2"/>
        <w:jc w:val="left"/>
        <w:rPr>
          <w:rFonts w:ascii="Calibri" w:cs="Calibri" w:eastAsia="Calibri" w:hAnsi="Calibri"/>
          <w:color w:val="000000"/>
        </w:rPr>
      </w:pPr>
      <w:bookmarkStart w:colFirst="0" w:colLast="0" w:name="_2et92p0" w:id="4"/>
      <w:bookmarkEnd w:id="4"/>
      <w:r w:rsidDel="00000000" w:rsidR="00000000" w:rsidRPr="00000000">
        <w:rPr>
          <w:rFonts w:ascii="Calibri" w:cs="Calibri" w:eastAsia="Calibri" w:hAnsi="Calibri"/>
          <w:color w:val="000000"/>
          <w:sz w:val="22"/>
          <w:szCs w:val="22"/>
          <w:rtl w:val="0"/>
        </w:rPr>
        <w:t xml:space="preserve">Analyse, identify, and report upon current capabilities across strategy, design, development, delivery and service.  Include identification of future architecture, service mapping and operating model requirements to support transformation and/or assist the Buyer in building or improving Intelligent Client capability.</w:t>
      </w:r>
      <w:r w:rsidDel="00000000" w:rsidR="00000000" w:rsidRPr="00000000">
        <w:rPr>
          <w:rtl w:val="0"/>
        </w:rPr>
      </w:r>
    </w:p>
    <w:p w:rsidR="00000000" w:rsidDel="00000000" w:rsidP="00000000" w:rsidRDefault="00000000" w:rsidRPr="00000000" w14:paraId="0000005E">
      <w:pPr>
        <w:tabs>
          <w:tab w:val="left" w:leader="none" w:pos="709"/>
        </w:tabs>
        <w:spacing w:line="240" w:lineRule="auto"/>
        <w:ind w:left="0" w:firstLine="0"/>
        <w:jc w:val="left"/>
        <w:rPr>
          <w:rFonts w:ascii="Calibri" w:cs="Calibri" w:eastAsia="Calibri" w:hAnsi="Calibri"/>
          <w:color w:val="000000"/>
        </w:rPr>
      </w:pPr>
      <w:bookmarkStart w:colFirst="0" w:colLast="0" w:name="_tyjcwt" w:id="5"/>
      <w:bookmarkEnd w:id="5"/>
      <w:r w:rsidDel="00000000" w:rsidR="00000000" w:rsidRPr="00000000">
        <w:rPr>
          <w:rtl w:val="0"/>
        </w:rPr>
      </w:r>
    </w:p>
    <w:p w:rsidR="00000000" w:rsidDel="00000000" w:rsidP="00000000" w:rsidRDefault="00000000" w:rsidRPr="00000000" w14:paraId="0000005F">
      <w:pPr>
        <w:numPr>
          <w:ilvl w:val="2"/>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Enterprise Architecture Advice, Design and Delivery Support </w:t>
      </w:r>
      <w:r w:rsidDel="00000000" w:rsidR="00000000" w:rsidRPr="00000000">
        <w:rPr>
          <w:rtl w:val="0"/>
        </w:rPr>
      </w:r>
    </w:p>
    <w:p w:rsidR="00000000" w:rsidDel="00000000" w:rsidP="00000000" w:rsidRDefault="00000000" w:rsidRPr="00000000" w14:paraId="00000060">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Provision of enterprise architecture advisory capability to Buyers to support decision-making on future architecture designs, strategies, or delivery planning. </w:t>
      </w:r>
      <w:r w:rsidDel="00000000" w:rsidR="00000000" w:rsidRPr="00000000">
        <w:rPr>
          <w:rtl w:val="0"/>
        </w:rPr>
      </w:r>
    </w:p>
    <w:p w:rsidR="00000000" w:rsidDel="00000000" w:rsidP="00000000" w:rsidRDefault="00000000" w:rsidRPr="00000000" w14:paraId="00000061">
      <w:pPr>
        <w:tabs>
          <w:tab w:val="left" w:leader="none" w:pos="709"/>
        </w:tabs>
        <w:spacing w:line="240" w:lineRule="auto"/>
        <w:ind w:left="0" w:firstLine="0"/>
        <w:jc w:val="left"/>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62">
      <w:pPr>
        <w:numPr>
          <w:ilvl w:val="2"/>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Service, Technical and Solution Architecture Advice, Design and Delivery Support </w:t>
      </w:r>
      <w:r w:rsidDel="00000000" w:rsidR="00000000" w:rsidRPr="00000000">
        <w:rPr>
          <w:rtl w:val="0"/>
        </w:rPr>
      </w:r>
    </w:p>
    <w:p w:rsidR="00000000" w:rsidDel="00000000" w:rsidP="00000000" w:rsidRDefault="00000000" w:rsidRPr="00000000" w14:paraId="00000063">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Provision of service, technical and solution architecture advisory capability to Buyers to support decisions on future service, solution, product or platform architecture designs, strategies, or delivery planning. </w:t>
      </w:r>
      <w:r w:rsidDel="00000000" w:rsidR="00000000" w:rsidRPr="00000000">
        <w:rPr>
          <w:rtl w:val="0"/>
        </w:rPr>
      </w:r>
    </w:p>
    <w:p w:rsidR="00000000" w:rsidDel="00000000" w:rsidP="00000000" w:rsidRDefault="00000000" w:rsidRPr="00000000" w14:paraId="00000064">
      <w:pPr>
        <w:tabs>
          <w:tab w:val="left" w:leader="none" w:pos="709"/>
        </w:tabs>
        <w:spacing w:line="240" w:lineRule="auto"/>
        <w:ind w:left="0" w:firstLine="0"/>
        <w:jc w:val="left"/>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65">
      <w:pPr>
        <w:numPr>
          <w:ilvl w:val="2"/>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Operating Model Assessment, Design and Delivery Support </w:t>
      </w:r>
      <w:r w:rsidDel="00000000" w:rsidR="00000000" w:rsidRPr="00000000">
        <w:rPr>
          <w:rtl w:val="0"/>
        </w:rPr>
      </w:r>
    </w:p>
    <w:p w:rsidR="00000000" w:rsidDel="00000000" w:rsidP="00000000" w:rsidRDefault="00000000" w:rsidRPr="00000000" w14:paraId="00000066">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Provision of specific advisory and/or delivery support to assess the current state of the Buyer’s operating models. Proposal of future best practice operating models aligned to delivery of prevailing or future technology strategies. Delivery support including provision of ongoing advisory services, guidance documents, and client-side staff support.</w:t>
      </w:r>
      <w:r w:rsidDel="00000000" w:rsidR="00000000" w:rsidRPr="00000000">
        <w:rPr>
          <w:rtl w:val="0"/>
        </w:rPr>
      </w:r>
    </w:p>
    <w:p w:rsidR="00000000" w:rsidDel="00000000" w:rsidP="00000000" w:rsidRDefault="00000000" w:rsidRPr="00000000" w14:paraId="00000067">
      <w:pPr>
        <w:tabs>
          <w:tab w:val="left" w:leader="none" w:pos="709"/>
        </w:tabs>
        <w:spacing w:line="240" w:lineRule="auto"/>
        <w:ind w:left="0" w:firstLine="0"/>
        <w:jc w:val="left"/>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68">
      <w:pPr>
        <w:numPr>
          <w:ilvl w:val="2"/>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Strategy Assessment, Design and Delivery</w:t>
      </w:r>
      <w:r w:rsidDel="00000000" w:rsidR="00000000" w:rsidRPr="00000000">
        <w:rPr>
          <w:rtl w:val="0"/>
        </w:rPr>
      </w:r>
    </w:p>
    <w:p w:rsidR="00000000" w:rsidDel="00000000" w:rsidP="00000000" w:rsidRDefault="00000000" w:rsidRPr="00000000" w14:paraId="00000069">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In addition to other strategic Services listed in this Framework Agreement, provision of a range of services to the Buyer to provide either a full or partial delivery of IT and digital strategy and architecture support. These services may include, but are not limited to:</w:t>
      </w:r>
      <w:r w:rsidDel="00000000" w:rsidR="00000000" w:rsidRPr="00000000">
        <w:rPr>
          <w:rtl w:val="0"/>
        </w:rPr>
      </w:r>
    </w:p>
    <w:p w:rsidR="00000000" w:rsidDel="00000000" w:rsidP="00000000" w:rsidRDefault="00000000" w:rsidRPr="00000000" w14:paraId="0000006A">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Technology gap assessments, i.e., assessment and recommendation of both suitable and/or market-leading technologies to enable successful transition from the current to the future state;</w:t>
      </w:r>
      <w:r w:rsidDel="00000000" w:rsidR="00000000" w:rsidRPr="00000000">
        <w:rPr>
          <w:rtl w:val="0"/>
        </w:rPr>
      </w:r>
    </w:p>
    <w:p w:rsidR="00000000" w:rsidDel="00000000" w:rsidP="00000000" w:rsidRDefault="00000000" w:rsidRPr="00000000" w14:paraId="0000006B">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Road-mapping, i.e., the provision of holistic and/or partial (potentially to the level of a service-specific technology stack) to coordinate tactical or operational delivery of the overall technology strategy;</w:t>
      </w:r>
      <w:r w:rsidDel="00000000" w:rsidR="00000000" w:rsidRPr="00000000">
        <w:rPr>
          <w:rtl w:val="0"/>
        </w:rPr>
      </w:r>
    </w:p>
    <w:p w:rsidR="00000000" w:rsidDel="00000000" w:rsidP="00000000" w:rsidRDefault="00000000" w:rsidRPr="00000000" w14:paraId="0000006C">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IT/digital financial management, i.e., provision of support to the Buyer’s IT finance function, or where required, budget-holders, in developing financial management approaches to support delivery of technology strategy and roadmaps. This will include developing plans for investment, financial control, cost management and definition and measurement of metrics supporting growth and or return on investment; and</w:t>
      </w:r>
      <w:r w:rsidDel="00000000" w:rsidR="00000000" w:rsidRPr="00000000">
        <w:rPr>
          <w:rtl w:val="0"/>
        </w:rPr>
      </w:r>
    </w:p>
    <w:p w:rsidR="00000000" w:rsidDel="00000000" w:rsidP="00000000" w:rsidRDefault="00000000" w:rsidRPr="00000000" w14:paraId="0000006D">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Provision of supply-side, or where required, client-side support focused on delivery of elements of the technology strategy and/or roadmap, which could be focused on adoption, usage, scaling and optimising individual technologies, services, or the Buyer’s overall applications architecture.</w:t>
      </w:r>
      <w:r w:rsidDel="00000000" w:rsidR="00000000" w:rsidRPr="00000000">
        <w:rPr>
          <w:rtl w:val="0"/>
        </w:rPr>
      </w:r>
    </w:p>
    <w:p w:rsidR="00000000" w:rsidDel="00000000" w:rsidP="00000000" w:rsidRDefault="00000000" w:rsidRPr="00000000" w14:paraId="0000006E">
      <w:pPr>
        <w:tabs>
          <w:tab w:val="left" w:leader="none" w:pos="709"/>
        </w:tabs>
        <w:spacing w:line="240" w:lineRule="auto"/>
        <w:ind w:left="0" w:hanging="2"/>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6F">
      <w:pPr>
        <w:numPr>
          <w:ilvl w:val="2"/>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Delivery Orchestration Partnering </w:t>
      </w:r>
      <w:r w:rsidDel="00000000" w:rsidR="00000000" w:rsidRPr="00000000">
        <w:rPr>
          <w:rtl w:val="0"/>
        </w:rPr>
      </w:r>
    </w:p>
    <w:p w:rsidR="00000000" w:rsidDel="00000000" w:rsidP="00000000" w:rsidRDefault="00000000" w:rsidRPr="00000000" w14:paraId="00000070">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Provision of orchestration partnering at the level of enterprise service delivery, programme oversight, validation and value realisation services, and project oversight, validation, and value realisation services. These services may include, but are not limited to:</w:t>
      </w:r>
      <w:r w:rsidDel="00000000" w:rsidR="00000000" w:rsidRPr="00000000">
        <w:rPr>
          <w:rtl w:val="0"/>
        </w:rPr>
      </w:r>
    </w:p>
    <w:p w:rsidR="00000000" w:rsidDel="00000000" w:rsidP="00000000" w:rsidRDefault="00000000" w:rsidRPr="00000000" w14:paraId="00000071">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Design of orchestration, delivery or service integration strategy using the most appropriate methodology to the estate, programme, or project;</w:t>
      </w:r>
      <w:r w:rsidDel="00000000" w:rsidR="00000000" w:rsidRPr="00000000">
        <w:rPr>
          <w:rtl w:val="0"/>
        </w:rPr>
      </w:r>
    </w:p>
    <w:p w:rsidR="00000000" w:rsidDel="00000000" w:rsidP="00000000" w:rsidRDefault="00000000" w:rsidRPr="00000000" w14:paraId="00000072">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Capability analysis and remediation support;</w:t>
      </w:r>
      <w:r w:rsidDel="00000000" w:rsidR="00000000" w:rsidRPr="00000000">
        <w:rPr>
          <w:rtl w:val="0"/>
        </w:rPr>
      </w:r>
    </w:p>
    <w:p w:rsidR="00000000" w:rsidDel="00000000" w:rsidP="00000000" w:rsidRDefault="00000000" w:rsidRPr="00000000" w14:paraId="00000073">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Advice on appropriate operating or commercial models;</w:t>
      </w:r>
      <w:r w:rsidDel="00000000" w:rsidR="00000000" w:rsidRPr="00000000">
        <w:rPr>
          <w:rtl w:val="0"/>
        </w:rPr>
      </w:r>
    </w:p>
    <w:p w:rsidR="00000000" w:rsidDel="00000000" w:rsidP="00000000" w:rsidRDefault="00000000" w:rsidRPr="00000000" w14:paraId="00000074">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Road-mapping to ensure delivery of orchestration or service integration strategy;</w:t>
      </w:r>
      <w:r w:rsidDel="00000000" w:rsidR="00000000" w:rsidRPr="00000000">
        <w:rPr>
          <w:rtl w:val="0"/>
        </w:rPr>
      </w:r>
    </w:p>
    <w:p w:rsidR="00000000" w:rsidDel="00000000" w:rsidP="00000000" w:rsidRDefault="00000000" w:rsidRPr="00000000" w14:paraId="00000075">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IT/digital financial management specific to the activity level, generally aligned to organisational IT/digital financial management;</w:t>
      </w:r>
      <w:r w:rsidDel="00000000" w:rsidR="00000000" w:rsidRPr="00000000">
        <w:rPr>
          <w:rtl w:val="0"/>
        </w:rPr>
      </w:r>
    </w:p>
    <w:p w:rsidR="00000000" w:rsidDel="00000000" w:rsidP="00000000" w:rsidRDefault="00000000" w:rsidRPr="00000000" w14:paraId="00000076">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Identification and design of the appropriate level of delivery orchestration approach including resource, processes, and assets to meet Buyer and/or end user service needs;</w:t>
      </w:r>
      <w:r w:rsidDel="00000000" w:rsidR="00000000" w:rsidRPr="00000000">
        <w:rPr>
          <w:rtl w:val="0"/>
        </w:rPr>
      </w:r>
    </w:p>
    <w:p w:rsidR="00000000" w:rsidDel="00000000" w:rsidP="00000000" w:rsidRDefault="00000000" w:rsidRPr="00000000" w14:paraId="00000077">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Auditing of current service provision, providing advice and, where required, delivery support to the Buyer to ensure continuous service improvement, and oversight of design and development of new Services to ensure value realisation;</w:t>
      </w:r>
      <w:r w:rsidDel="00000000" w:rsidR="00000000" w:rsidRPr="00000000">
        <w:rPr>
          <w:rtl w:val="0"/>
        </w:rPr>
      </w:r>
    </w:p>
    <w:p w:rsidR="00000000" w:rsidDel="00000000" w:rsidP="00000000" w:rsidRDefault="00000000" w:rsidRPr="00000000" w14:paraId="00000078">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Support for, or delivery of, supply chain design, integration, and management in the context of delivery orchestration scenario;</w:t>
      </w:r>
      <w:r w:rsidDel="00000000" w:rsidR="00000000" w:rsidRPr="00000000">
        <w:rPr>
          <w:rtl w:val="0"/>
        </w:rPr>
      </w:r>
    </w:p>
    <w:p w:rsidR="00000000" w:rsidDel="00000000" w:rsidP="00000000" w:rsidRDefault="00000000" w:rsidRPr="00000000" w14:paraId="00000079">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Support for, or delivery of, service availability design and assurance in the context of delivery orchestration scenario;</w:t>
      </w:r>
      <w:r w:rsidDel="00000000" w:rsidR="00000000" w:rsidRPr="00000000">
        <w:rPr>
          <w:rtl w:val="0"/>
        </w:rPr>
      </w:r>
    </w:p>
    <w:p w:rsidR="00000000" w:rsidDel="00000000" w:rsidP="00000000" w:rsidRDefault="00000000" w:rsidRPr="00000000" w14:paraId="0000007A">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Support for, or delivery of, Service Level agreements (‘SLAs’) and key performance indicators (‘KPIs’) for Suppliers deployed in the context of delivery orchestration scenario;</w:t>
      </w:r>
      <w:r w:rsidDel="00000000" w:rsidR="00000000" w:rsidRPr="00000000">
        <w:rPr>
          <w:rtl w:val="0"/>
        </w:rPr>
      </w:r>
    </w:p>
    <w:p w:rsidR="00000000" w:rsidDel="00000000" w:rsidP="00000000" w:rsidRDefault="00000000" w:rsidRPr="00000000" w14:paraId="0000007B">
      <w:pPr>
        <w:numPr>
          <w:ilvl w:val="4"/>
          <w:numId w:val="8"/>
        </w:numPr>
        <w:tabs>
          <w:tab w:val="left" w:leader="none" w:pos="709"/>
        </w:tabs>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Operational service design, in the context of delivery orchestration scenarios where required by the Buyer; and</w:t>
      </w:r>
      <w:r w:rsidDel="00000000" w:rsidR="00000000" w:rsidRPr="00000000">
        <w:rPr>
          <w:rtl w:val="0"/>
        </w:rPr>
      </w:r>
    </w:p>
    <w:p w:rsidR="00000000" w:rsidDel="00000000" w:rsidP="00000000" w:rsidRDefault="00000000" w:rsidRPr="00000000" w14:paraId="0000007C">
      <w:pPr>
        <w:numPr>
          <w:ilvl w:val="4"/>
          <w:numId w:val="8"/>
        </w:numPr>
        <w:tabs>
          <w:tab w:val="left" w:leader="none" w:pos="709"/>
        </w:tabs>
        <w:spacing w:line="240" w:lineRule="auto"/>
        <w:ind w:left="0" w:hanging="2"/>
        <w:jc w:val="left"/>
        <w:rPr>
          <w:rFonts w:ascii="Calibri" w:cs="Calibri" w:eastAsia="Calibri" w:hAnsi="Calibri"/>
          <w:color w:val="000000"/>
        </w:rPr>
      </w:pPr>
      <w:bookmarkStart w:colFirst="0" w:colLast="0" w:name="_3dy6vkm" w:id="6"/>
      <w:bookmarkEnd w:id="6"/>
      <w:r w:rsidDel="00000000" w:rsidR="00000000" w:rsidRPr="00000000">
        <w:rPr>
          <w:rFonts w:ascii="Calibri" w:cs="Calibri" w:eastAsia="Calibri" w:hAnsi="Calibri"/>
          <w:color w:val="000000"/>
          <w:sz w:val="22"/>
          <w:szCs w:val="22"/>
          <w:rtl w:val="0"/>
        </w:rPr>
        <w:t xml:space="preserve">Transition support services in the context of delivery orchestration scenario, including identification and measurement of required transition outcomes; assumption, risk and issue identification and management; audit and due diligence activities; project and programme management including planning, delivery and reporting; implementation and staff coordination, often in a multi-Supplier environment; post-transition review to ensure targets, requirements and outcomes are delivered within the appropriate time, cost and quality envelopes; and oversight and/or planning, delivery and co-ordinations of legacy service decommissioning and disposals (where such are currently run by the Buyer, or not provided for in a contract let under Lot 3 of this Framework Agreement).</w:t>
      </w:r>
      <w:r w:rsidDel="00000000" w:rsidR="00000000" w:rsidRPr="00000000">
        <w:rPr>
          <w:rtl w:val="0"/>
        </w:rPr>
      </w:r>
    </w:p>
    <w:p w:rsidR="00000000" w:rsidDel="00000000" w:rsidP="00000000" w:rsidRDefault="00000000" w:rsidRPr="00000000" w14:paraId="0000007D">
      <w:pPr>
        <w:tabs>
          <w:tab w:val="left" w:leader="none" w:pos="709"/>
        </w:tabs>
        <w:spacing w:line="240" w:lineRule="auto"/>
        <w:ind w:left="0" w:firstLine="0"/>
        <w:jc w:val="left"/>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7E">
      <w:pPr>
        <w:numPr>
          <w:ilvl w:val="2"/>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Service Design</w:t>
      </w:r>
      <w:r w:rsidDel="00000000" w:rsidR="00000000" w:rsidRPr="00000000">
        <w:rPr>
          <w:rtl w:val="0"/>
        </w:rPr>
      </w:r>
    </w:p>
    <w:p w:rsidR="00000000" w:rsidDel="00000000" w:rsidP="00000000" w:rsidRDefault="00000000" w:rsidRPr="00000000" w14:paraId="0000007F">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Provision of a range of services that make up all or part of technology service design. This may include, but is not limited to:</w:t>
      </w:r>
      <w:r w:rsidDel="00000000" w:rsidR="00000000" w:rsidRPr="00000000">
        <w:rPr>
          <w:rtl w:val="0"/>
        </w:rPr>
      </w:r>
    </w:p>
    <w:p w:rsidR="00000000" w:rsidDel="00000000" w:rsidP="00000000" w:rsidRDefault="00000000" w:rsidRPr="00000000" w14:paraId="00000080">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End-users to design service delivery models that are scoped for current requirements and provide the ability to scale to future demand; </w:t>
      </w:r>
      <w:r w:rsidDel="00000000" w:rsidR="00000000" w:rsidRPr="00000000">
        <w:rPr>
          <w:rtl w:val="0"/>
        </w:rPr>
      </w:r>
    </w:p>
    <w:p w:rsidR="00000000" w:rsidDel="00000000" w:rsidP="00000000" w:rsidRDefault="00000000" w:rsidRPr="00000000" w14:paraId="00000081">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Demand management support, i.e., provision of, or recommendation for adoption of, capacity planning and management tooling, processes, and software; </w:t>
      </w:r>
      <w:r w:rsidDel="00000000" w:rsidR="00000000" w:rsidRPr="00000000">
        <w:rPr>
          <w:rtl w:val="0"/>
        </w:rPr>
      </w:r>
    </w:p>
    <w:p w:rsidR="00000000" w:rsidDel="00000000" w:rsidP="00000000" w:rsidRDefault="00000000" w:rsidRPr="00000000" w14:paraId="00000082">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Performance design and management, i.e., supporting (or facilitating) development of SLAs, KPIs, measurement techniques, reporting methods and options for improvement for in-scope services;</w:t>
      </w:r>
      <w:r w:rsidDel="00000000" w:rsidR="00000000" w:rsidRPr="00000000">
        <w:rPr>
          <w:rtl w:val="0"/>
        </w:rPr>
      </w:r>
    </w:p>
    <w:p w:rsidR="00000000" w:rsidDel="00000000" w:rsidP="00000000" w:rsidRDefault="00000000" w:rsidRPr="00000000" w14:paraId="00000083">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Service availability, service management/integration monitoring, assurance, and service continuity processes that are scoped for current requirements and provide the ability to scale to future service design;</w:t>
      </w:r>
      <w:r w:rsidDel="00000000" w:rsidR="00000000" w:rsidRPr="00000000">
        <w:rPr>
          <w:rtl w:val="0"/>
        </w:rPr>
      </w:r>
    </w:p>
    <w:p w:rsidR="00000000" w:rsidDel="00000000" w:rsidP="00000000" w:rsidRDefault="00000000" w:rsidRPr="00000000" w14:paraId="00000084">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Assumption, risk and issue identification, management in the context of service continuity;</w:t>
      </w:r>
      <w:r w:rsidDel="00000000" w:rsidR="00000000" w:rsidRPr="00000000">
        <w:rPr>
          <w:rtl w:val="0"/>
        </w:rPr>
      </w:r>
    </w:p>
    <w:p w:rsidR="00000000" w:rsidDel="00000000" w:rsidP="00000000" w:rsidRDefault="00000000" w:rsidRPr="00000000" w14:paraId="00000085">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Security oversight and management, i.e., ensuring, and if required, delivering appropriate security protection to application services, including, monitoring and testing of relevant security protection features;</w:t>
      </w:r>
      <w:r w:rsidDel="00000000" w:rsidR="00000000" w:rsidRPr="00000000">
        <w:rPr>
          <w:rtl w:val="0"/>
        </w:rPr>
      </w:r>
    </w:p>
    <w:p w:rsidR="00000000" w:rsidDel="00000000" w:rsidP="00000000" w:rsidRDefault="00000000" w:rsidRPr="00000000" w14:paraId="00000086">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Provision of advice, guidance and management support to leverage the services, Suppliers and supply chain ecosystem partners within the Framework to generate maximum value for money; and</w:t>
      </w:r>
      <w:r w:rsidDel="00000000" w:rsidR="00000000" w:rsidRPr="00000000">
        <w:rPr>
          <w:rtl w:val="0"/>
        </w:rPr>
      </w:r>
    </w:p>
    <w:p w:rsidR="00000000" w:rsidDel="00000000" w:rsidP="00000000" w:rsidRDefault="00000000" w:rsidRPr="00000000" w14:paraId="00000087">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Pro-active provision of advice, guidance and, where required, delivery support for continuous improvement, service optimisation, adoption of new technologies or innovation activities designed to underpin or accelerate service improvement, transformation, or the delivery of technology roadmaps.      </w:t>
      </w:r>
      <w:r w:rsidDel="00000000" w:rsidR="00000000" w:rsidRPr="00000000">
        <w:rPr>
          <w:rtl w:val="0"/>
        </w:rPr>
      </w:r>
    </w:p>
    <w:p w:rsidR="00000000" w:rsidDel="00000000" w:rsidP="00000000" w:rsidRDefault="00000000" w:rsidRPr="00000000" w14:paraId="00000088">
      <w:pPr>
        <w:tabs>
          <w:tab w:val="left" w:leader="none" w:pos="709"/>
        </w:tabs>
        <w:spacing w:line="240" w:lineRule="auto"/>
        <w:ind w:left="0" w:hanging="2"/>
        <w:jc w:val="left"/>
        <w:rPr>
          <w:rFonts w:ascii="Calibri" w:cs="Calibri" w:eastAsia="Calibri" w:hAnsi="Calibri"/>
          <w:color w:val="000000"/>
          <w:sz w:val="22"/>
          <w:szCs w:val="22"/>
        </w:rPr>
      </w:pPr>
      <w:bookmarkStart w:colFirst="0" w:colLast="0" w:name="_1t3h5sf" w:id="7"/>
      <w:bookmarkEnd w:id="7"/>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089">
      <w:pPr>
        <w:numPr>
          <w:ilvl w:val="2"/>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Supplier Supported Problem Solving</w:t>
      </w:r>
      <w:r w:rsidDel="00000000" w:rsidR="00000000" w:rsidRPr="00000000">
        <w:rPr>
          <w:rtl w:val="0"/>
        </w:rPr>
      </w:r>
    </w:p>
    <w:p w:rsidR="00000000" w:rsidDel="00000000" w:rsidP="00000000" w:rsidRDefault="00000000" w:rsidRPr="00000000" w14:paraId="0000008A">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Supplier may be commissioned to facilitate Hackathons, Strat-Hacks or Facilitated Citizen Coder activities to address specific challenges. </w:t>
      </w:r>
      <w:r w:rsidDel="00000000" w:rsidR="00000000" w:rsidRPr="00000000">
        <w:rPr>
          <w:rtl w:val="0"/>
        </w:rPr>
      </w:r>
    </w:p>
    <w:p w:rsidR="00000000" w:rsidDel="00000000" w:rsidP="00000000" w:rsidRDefault="00000000" w:rsidRPr="00000000" w14:paraId="0000008B">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Strat-hacks are facilitated by a single Supplier and draws upon resources from across the Buyer’s Supplier landscape. Options would include Strat-hacks conducted among Lot Suppliers or with Suppliers across the Framework. </w:t>
      </w:r>
      <w:r w:rsidDel="00000000" w:rsidR="00000000" w:rsidRPr="00000000">
        <w:rPr>
          <w:rtl w:val="0"/>
        </w:rPr>
      </w:r>
    </w:p>
    <w:p w:rsidR="00000000" w:rsidDel="00000000" w:rsidP="00000000" w:rsidRDefault="00000000" w:rsidRPr="00000000" w14:paraId="0000008C">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lead Supplier in a Facilitated Citizen Coder activity will be responsible for ensuring security of the Buyer’s systems, services, platforms, and products and will ensure appropriate data-masking, and security and sanitisation of ‘citizen coder’ provided solutions before deployment into any Buyer live service. </w:t>
      </w:r>
      <w:r w:rsidDel="00000000" w:rsidR="00000000" w:rsidRPr="00000000">
        <w:rPr>
          <w:rtl w:val="0"/>
        </w:rPr>
      </w:r>
    </w:p>
    <w:p w:rsidR="00000000" w:rsidDel="00000000" w:rsidP="00000000" w:rsidRDefault="00000000" w:rsidRPr="00000000" w14:paraId="0000008D">
      <w:pPr>
        <w:tabs>
          <w:tab w:val="left" w:leader="none" w:pos="709"/>
        </w:tabs>
        <w:spacing w:line="240" w:lineRule="auto"/>
        <w:ind w:left="0" w:hanging="2"/>
        <w:jc w:val="left"/>
        <w:rPr>
          <w:rFonts w:ascii="Calibri" w:cs="Calibri" w:eastAsia="Calibri" w:hAnsi="Calibri"/>
          <w:color w:val="000000"/>
          <w:sz w:val="22"/>
          <w:szCs w:val="22"/>
        </w:rPr>
      </w:pPr>
      <w:bookmarkStart w:colFirst="0" w:colLast="0" w:name="_4d34og8" w:id="8"/>
      <w:bookmarkEnd w:id="8"/>
      <w:r w:rsidDel="00000000" w:rsidR="00000000" w:rsidRPr="00000000">
        <w:rPr>
          <w:rtl w:val="0"/>
        </w:rPr>
      </w:r>
    </w:p>
    <w:p w:rsidR="00000000" w:rsidDel="00000000" w:rsidP="00000000" w:rsidRDefault="00000000" w:rsidRPr="00000000" w14:paraId="0000008E">
      <w:pPr>
        <w:numPr>
          <w:ilvl w:val="2"/>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Design Services Council </w:t>
      </w:r>
      <w:r w:rsidDel="00000000" w:rsidR="00000000" w:rsidRPr="00000000">
        <w:rPr>
          <w:rtl w:val="0"/>
        </w:rPr>
      </w:r>
    </w:p>
    <w:p w:rsidR="00000000" w:rsidDel="00000000" w:rsidP="00000000" w:rsidRDefault="00000000" w:rsidRPr="00000000" w14:paraId="0000008F">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Buyers will retain the right (but not the obligation) to appoint Lot Suppliers free of charge and on a voluntary basis to a Design Services Council. Buying organisations will retain responsibility for creating processes to ensure effective operation of a Design Services Council, including prevention of Conflicts of Interest.</w:t>
      </w:r>
      <w:r w:rsidDel="00000000" w:rsidR="00000000" w:rsidRPr="00000000">
        <w:rPr>
          <w:rtl w:val="0"/>
        </w:rPr>
      </w:r>
    </w:p>
    <w:p w:rsidR="00000000" w:rsidDel="00000000" w:rsidP="00000000" w:rsidRDefault="00000000" w:rsidRPr="00000000" w14:paraId="00000090">
      <w:pPr>
        <w:tabs>
          <w:tab w:val="left" w:leader="none" w:pos="709"/>
        </w:tabs>
        <w:spacing w:line="240" w:lineRule="auto"/>
        <w:ind w:left="0" w:hanging="2"/>
        <w:jc w:val="left"/>
        <w:rPr>
          <w:rFonts w:ascii="Calibri" w:cs="Calibri" w:eastAsia="Calibri" w:hAnsi="Calibri"/>
          <w:color w:val="000000"/>
          <w:sz w:val="22"/>
          <w:szCs w:val="22"/>
        </w:rPr>
      </w:pPr>
      <w:bookmarkStart w:colFirst="0" w:colLast="0" w:name="_2s8eyo1" w:id="9"/>
      <w:bookmarkEnd w:id="9"/>
      <w:r w:rsidDel="00000000" w:rsidR="00000000" w:rsidRPr="00000000">
        <w:rPr>
          <w:rtl w:val="0"/>
        </w:rPr>
      </w:r>
    </w:p>
    <w:p w:rsidR="00000000" w:rsidDel="00000000" w:rsidP="00000000" w:rsidRDefault="00000000" w:rsidRPr="00000000" w14:paraId="00000091">
      <w:pPr>
        <w:numPr>
          <w:ilvl w:val="2"/>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Knowledge Transfer and Skills Development </w:t>
      </w:r>
      <w:r w:rsidDel="00000000" w:rsidR="00000000" w:rsidRPr="00000000">
        <w:rPr>
          <w:rtl w:val="0"/>
        </w:rPr>
      </w:r>
    </w:p>
    <w:p w:rsidR="00000000" w:rsidDel="00000000" w:rsidP="00000000" w:rsidRDefault="00000000" w:rsidRPr="00000000" w14:paraId="00000092">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Buyers will be able to commission specific knowledge transfer and skills development services from Lot Suppliers to enable it to enhance its Intelligent Client capability. This will cover the ability to exercise oversight, planning, design, delivery, and validation of the services delivered across the Buyer’s applications estate.</w:t>
      </w:r>
      <w:r w:rsidDel="00000000" w:rsidR="00000000" w:rsidRPr="00000000">
        <w:rPr>
          <w:rtl w:val="0"/>
        </w:rPr>
      </w:r>
    </w:p>
    <w:p w:rsidR="00000000" w:rsidDel="00000000" w:rsidP="00000000" w:rsidRDefault="00000000" w:rsidRPr="00000000" w14:paraId="00000093">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Such knowledge transfer and skills development services may include, but are not limited to: </w:t>
      </w:r>
      <w:r w:rsidDel="00000000" w:rsidR="00000000" w:rsidRPr="00000000">
        <w:rPr>
          <w:rtl w:val="0"/>
        </w:rPr>
      </w:r>
    </w:p>
    <w:p w:rsidR="00000000" w:rsidDel="00000000" w:rsidP="00000000" w:rsidRDefault="00000000" w:rsidRPr="00000000" w14:paraId="00000094">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Provision of manuals, operating instructions, guidance notes and training packs relevant to elements of the service delivery;</w:t>
      </w:r>
      <w:r w:rsidDel="00000000" w:rsidR="00000000" w:rsidRPr="00000000">
        <w:rPr>
          <w:rtl w:val="0"/>
        </w:rPr>
      </w:r>
    </w:p>
    <w:p w:rsidR="00000000" w:rsidDel="00000000" w:rsidP="00000000" w:rsidRDefault="00000000" w:rsidRPr="00000000" w14:paraId="00000095">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An obligation to permit job-shadowing by the Buyer’s staff or representatives; and</w:t>
      </w:r>
      <w:r w:rsidDel="00000000" w:rsidR="00000000" w:rsidRPr="00000000">
        <w:rPr>
          <w:rtl w:val="0"/>
        </w:rPr>
      </w:r>
    </w:p>
    <w:p w:rsidR="00000000" w:rsidDel="00000000" w:rsidP="00000000" w:rsidRDefault="00000000" w:rsidRPr="00000000" w14:paraId="00000096">
      <w:pPr>
        <w:numPr>
          <w:ilvl w:val="4"/>
          <w:numId w:val="8"/>
        </w:numPr>
        <w:tabs>
          <w:tab w:val="left" w:leader="none" w:pos="709"/>
        </w:tabs>
        <w:spacing w:line="240" w:lineRule="auto"/>
        <w:ind w:left="0" w:hanging="2"/>
        <w:jc w:val="left"/>
        <w:rPr>
          <w:rFonts w:ascii="Calibri" w:cs="Calibri" w:eastAsia="Calibri" w:hAnsi="Calibri"/>
          <w:color w:val="000000"/>
        </w:rPr>
      </w:pPr>
      <w:bookmarkStart w:colFirst="0" w:colLast="0" w:name="_17dp8vu" w:id="10"/>
      <w:bookmarkEnd w:id="10"/>
      <w:r w:rsidDel="00000000" w:rsidR="00000000" w:rsidRPr="00000000">
        <w:rPr>
          <w:rFonts w:ascii="Calibri" w:cs="Calibri" w:eastAsia="Calibri" w:hAnsi="Calibri"/>
          <w:color w:val="000000"/>
          <w:sz w:val="22"/>
          <w:szCs w:val="22"/>
          <w:rtl w:val="0"/>
        </w:rPr>
        <w:t xml:space="preserve">Provision of focused training specific to policies, processes, methodologies, software, and tooling used in delivery of the Services to the Buyer.</w:t>
      </w:r>
      <w:r w:rsidDel="00000000" w:rsidR="00000000" w:rsidRPr="00000000">
        <w:rPr>
          <w:rtl w:val="0"/>
        </w:rPr>
      </w:r>
    </w:p>
    <w:p w:rsidR="00000000" w:rsidDel="00000000" w:rsidP="00000000" w:rsidRDefault="00000000" w:rsidRPr="00000000" w14:paraId="00000097">
      <w:pPr>
        <w:tabs>
          <w:tab w:val="left" w:leader="none" w:pos="709"/>
        </w:tabs>
        <w:spacing w:line="240" w:lineRule="auto"/>
        <w:ind w:left="0" w:firstLine="0"/>
        <w:jc w:val="left"/>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98">
      <w:pPr>
        <w:numPr>
          <w:ilvl w:val="2"/>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Call-Off Procedure </w:t>
      </w:r>
      <w:r w:rsidDel="00000000" w:rsidR="00000000" w:rsidRPr="00000000">
        <w:rPr>
          <w:rtl w:val="0"/>
        </w:rPr>
      </w:r>
    </w:p>
    <w:p w:rsidR="00000000" w:rsidDel="00000000" w:rsidP="00000000" w:rsidRDefault="00000000" w:rsidRPr="00000000" w14:paraId="00000099">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Award available via Further Competition Procedure or direct award. </w:t>
      </w:r>
      <w:r w:rsidDel="00000000" w:rsidR="00000000" w:rsidRPr="00000000">
        <w:rPr>
          <w:rtl w:val="0"/>
        </w:rPr>
      </w:r>
    </w:p>
    <w:p w:rsidR="00000000" w:rsidDel="00000000" w:rsidP="00000000" w:rsidRDefault="00000000" w:rsidRPr="00000000" w14:paraId="0000009A">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maximum Call-Off Contract period, including the initial term and any extensions, shall not exceed 48 Months (4 calendar years).  </w:t>
      </w:r>
      <w:r w:rsidDel="00000000" w:rsidR="00000000" w:rsidRPr="00000000">
        <w:rPr>
          <w:rtl w:val="0"/>
        </w:rPr>
      </w:r>
    </w:p>
    <w:p w:rsidR="00000000" w:rsidDel="00000000" w:rsidP="00000000" w:rsidRDefault="00000000" w:rsidRPr="00000000" w14:paraId="0000009B">
      <w:pPr>
        <w:shd w:fill="ffffff" w:val="clear"/>
        <w:tabs>
          <w:tab w:val="left" w:leader="none" w:pos="709"/>
        </w:tabs>
        <w:spacing w:after="120"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9C">
      <w:pPr>
        <w:numPr>
          <w:ilvl w:val="1"/>
          <w:numId w:val="8"/>
        </w:numPr>
        <w:shd w:fill="ffffff" w:val="clear"/>
        <w:tabs>
          <w:tab w:val="left" w:leader="none" w:pos="709"/>
        </w:tabs>
        <w:spacing w:line="240" w:lineRule="auto"/>
        <w:ind w:left="0" w:hanging="2"/>
        <w:rPr>
          <w:color w:val="000000"/>
        </w:rPr>
      </w:pPr>
      <w:r w:rsidDel="00000000" w:rsidR="00000000" w:rsidRPr="00000000">
        <w:rPr>
          <w:rFonts w:ascii="Calibri" w:cs="Calibri" w:eastAsia="Calibri" w:hAnsi="Calibri"/>
          <w:b w:val="1"/>
          <w:color w:val="000000"/>
          <w:sz w:val="22"/>
          <w:szCs w:val="22"/>
          <w:rtl w:val="0"/>
        </w:rPr>
        <w:t xml:space="preserve">Service Provision Lot 2a: Digital, Integration and Programme Application Services (Large Scale</w:t>
      </w:r>
      <w:r w:rsidDel="00000000" w:rsidR="00000000" w:rsidRPr="00000000">
        <w:rPr>
          <w:rFonts w:ascii="Calibri" w:cs="Calibri" w:eastAsia="Calibri" w:hAnsi="Calibri"/>
          <w:color w:val="000000"/>
          <w:sz w:val="22"/>
          <w:szCs w:val="22"/>
          <w:rtl w:val="0"/>
        </w:rPr>
        <w:t xml:space="preserve">)</w:t>
      </w:r>
      <w:r w:rsidDel="00000000" w:rsidR="00000000" w:rsidRPr="00000000">
        <w:rPr>
          <w:rtl w:val="0"/>
        </w:rPr>
      </w:r>
    </w:p>
    <w:p w:rsidR="00000000" w:rsidDel="00000000" w:rsidP="00000000" w:rsidRDefault="00000000" w:rsidRPr="00000000" w14:paraId="0000009D">
      <w:pPr>
        <w:numPr>
          <w:ilvl w:val="2"/>
          <w:numId w:val="8"/>
        </w:numPr>
        <w:shd w:fill="ffffff" w:val="clear"/>
        <w:tabs>
          <w:tab w:val="left" w:leader="none" w:pos="709"/>
          <w:tab w:val="left" w:leader="none" w:pos="135"/>
        </w:tabs>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222222"/>
          <w:sz w:val="22"/>
          <w:szCs w:val="22"/>
          <w:rtl w:val="0"/>
        </w:rPr>
        <w:t xml:space="preserve">The context of this Framework Agreement Lots 2a are primarily around the design, build and delivery of digital products and services build in codable software/programming languages, whether as a net new service or transformational of existing systems. In a DevSecOps context, buyers will often commission build services with the intent that the same teams responsible for delivery up to Live/Hypercare will also run and optimise the services once they have entered into the application maintenance/support/run phase. Commissioning such run services is permissible under Framework Agreement Lot 2a as an ancillary to or run-on of application design and build services delivered under Framework Agreement Lot 2a. </w:t>
      </w:r>
      <w:r w:rsidDel="00000000" w:rsidR="00000000" w:rsidRPr="00000000">
        <w:rPr>
          <w:rtl w:val="0"/>
        </w:rPr>
      </w:r>
    </w:p>
    <w:p w:rsidR="00000000" w:rsidDel="00000000" w:rsidP="00000000" w:rsidRDefault="00000000" w:rsidRPr="00000000" w14:paraId="0000009E">
      <w:pPr>
        <w:numPr>
          <w:ilvl w:val="2"/>
          <w:numId w:val="8"/>
        </w:numPr>
        <w:shd w:fill="ffffff" w:val="clear"/>
        <w:tabs>
          <w:tab w:val="left" w:leader="none" w:pos="709"/>
          <w:tab w:val="left" w:leader="none" w:pos="135"/>
        </w:tabs>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222222"/>
          <w:sz w:val="22"/>
          <w:szCs w:val="22"/>
          <w:rtl w:val="0"/>
        </w:rPr>
        <w:t xml:space="preserve">Application maintenance/support/run cannot be commissioned solely as a core service under this lot. These services can only be commissioned alongside commissioning of a core delivery Service. Core delivery services are described in paragraphs 2.2.3.1, 2.2.3.3, 2.2.3.4, and 2.2.3.5. Services that are solely focused on DevOps support for live services as referenced at 2.2.3.2 and ‘run and service optimisation’ referenced at 2.2.3.5 are optional/ancillary services and cannot be commissioned without being incidental to the commissioning of a core Service.</w:t>
      </w:r>
      <w:r w:rsidDel="00000000" w:rsidR="00000000" w:rsidRPr="00000000">
        <w:rPr>
          <w:rtl w:val="0"/>
        </w:rPr>
      </w:r>
    </w:p>
    <w:p w:rsidR="00000000" w:rsidDel="00000000" w:rsidP="00000000" w:rsidRDefault="00000000" w:rsidRPr="00000000" w14:paraId="0000009F">
      <w:pPr>
        <w:numPr>
          <w:ilvl w:val="2"/>
          <w:numId w:val="8"/>
        </w:numPr>
        <w:shd w:fill="ffffff" w:val="clear"/>
        <w:tabs>
          <w:tab w:val="left" w:leader="none" w:pos="709"/>
          <w:tab w:val="left" w:leader="none" w:pos="135"/>
        </w:tabs>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Where requested by the Buyer, Suppliers will provide a range of Services and deliver digital, integration and programme application services (large scale) covering development, security, and operations (DevSecOps) capabilities for the development of applications using codable software technologies and/or programming languages. Services may include but are not limited to: </w:t>
      </w:r>
      <w:r w:rsidDel="00000000" w:rsidR="00000000" w:rsidRPr="00000000">
        <w:rPr>
          <w:rtl w:val="0"/>
        </w:rPr>
      </w:r>
    </w:p>
    <w:p w:rsidR="00000000" w:rsidDel="00000000" w:rsidP="00000000" w:rsidRDefault="00000000" w:rsidRPr="00000000" w14:paraId="000000A0">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Digital design/early delivery services. Either separately or combined discovery (as extended under extended discovery under paragraph below) and/or Alpha phases;</w:t>
      </w:r>
      <w:r w:rsidDel="00000000" w:rsidR="00000000" w:rsidRPr="00000000">
        <w:rPr>
          <w:rtl w:val="0"/>
        </w:rPr>
      </w:r>
    </w:p>
    <w:p w:rsidR="00000000" w:rsidDel="00000000" w:rsidP="00000000" w:rsidRDefault="00000000" w:rsidRPr="00000000" w14:paraId="000000A1">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DevOps services support for ongoing live services;  </w:t>
      </w:r>
      <w:r w:rsidDel="00000000" w:rsidR="00000000" w:rsidRPr="00000000">
        <w:rPr>
          <w:rtl w:val="0"/>
        </w:rPr>
      </w:r>
    </w:p>
    <w:p w:rsidR="00000000" w:rsidDel="00000000" w:rsidP="00000000" w:rsidRDefault="00000000" w:rsidRPr="00000000" w14:paraId="000000A2">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Build and transition services either separately combining Beta phase and/or retirement phases (including transition to Live). Buyers may choose to run a separate competition for DevOps Services specific to Live running of a service or product; </w:t>
      </w:r>
      <w:r w:rsidDel="00000000" w:rsidR="00000000" w:rsidRPr="00000000">
        <w:rPr>
          <w:rtl w:val="0"/>
        </w:rPr>
      </w:r>
    </w:p>
    <w:p w:rsidR="00000000" w:rsidDel="00000000" w:rsidP="00000000" w:rsidRDefault="00000000" w:rsidRPr="00000000" w14:paraId="000000A3">
      <w:pPr>
        <w:numPr>
          <w:ilvl w:val="3"/>
          <w:numId w:val="8"/>
        </w:numPr>
        <w:tabs>
          <w:tab w:val="left" w:leader="none" w:pos="709"/>
        </w:tabs>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End-to-end development services with the ability to combine the full set of agile phases of discovery through to Live running and service optimisation; and </w:t>
      </w:r>
      <w:r w:rsidDel="00000000" w:rsidR="00000000" w:rsidRPr="00000000">
        <w:rPr>
          <w:rtl w:val="0"/>
        </w:rPr>
      </w:r>
    </w:p>
    <w:p w:rsidR="00000000" w:rsidDel="00000000" w:rsidP="00000000" w:rsidRDefault="00000000" w:rsidRPr="00000000" w14:paraId="000000A4">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Data and business information management services, primarily targeted at building, enhancing, and maintaining data assets, migrating data from one system to another and analysis and reporting from such data assets. </w:t>
      </w:r>
      <w:r w:rsidDel="00000000" w:rsidR="00000000" w:rsidRPr="00000000">
        <w:rPr>
          <w:rtl w:val="0"/>
        </w:rPr>
      </w:r>
    </w:p>
    <w:p w:rsidR="00000000" w:rsidDel="00000000" w:rsidP="00000000" w:rsidRDefault="00000000" w:rsidRPr="00000000" w14:paraId="000000A5">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Supplier will be expected to work according to the Technology Code of Practice; the GDS Service Manual; any operating standards required by the Buyer and demonstrated understanding of what it means to work on the discovery, Alpha, Beta, Live or retirement phases described in the Service Manual. </w:t>
      </w:r>
      <w:r w:rsidDel="00000000" w:rsidR="00000000" w:rsidRPr="00000000">
        <w:rPr>
          <w:rtl w:val="0"/>
        </w:rPr>
      </w:r>
    </w:p>
    <w:p w:rsidR="00000000" w:rsidDel="00000000" w:rsidP="00000000" w:rsidRDefault="00000000" w:rsidRPr="00000000" w14:paraId="000000A6">
      <w:pPr>
        <w:numPr>
          <w:ilvl w:val="2"/>
          <w:numId w:val="8"/>
        </w:numPr>
        <w:tabs>
          <w:tab w:val="left" w:leader="none" w:pos="709"/>
        </w:tabs>
        <w:spacing w:after="200"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foregoing service descriptions are in the context of development of product, platforms and services built on codable technologies or programming languages.</w:t>
      </w:r>
      <w:r w:rsidDel="00000000" w:rsidR="00000000" w:rsidRPr="00000000">
        <w:rPr>
          <w:rtl w:val="0"/>
        </w:rPr>
      </w:r>
    </w:p>
    <w:p w:rsidR="00000000" w:rsidDel="00000000" w:rsidP="00000000" w:rsidRDefault="00000000" w:rsidRPr="00000000" w14:paraId="000000A7">
      <w:pPr>
        <w:numPr>
          <w:ilvl w:val="2"/>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Call-Off Procedure</w:t>
      </w:r>
      <w:r w:rsidDel="00000000" w:rsidR="00000000" w:rsidRPr="00000000">
        <w:rPr>
          <w:rtl w:val="0"/>
        </w:rPr>
      </w:r>
    </w:p>
    <w:p w:rsidR="00000000" w:rsidDel="00000000" w:rsidP="00000000" w:rsidRDefault="00000000" w:rsidRPr="00000000" w14:paraId="000000A8">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Award available via Further Competition Procedure or direct award. </w:t>
      </w:r>
      <w:r w:rsidDel="00000000" w:rsidR="00000000" w:rsidRPr="00000000">
        <w:rPr>
          <w:rtl w:val="0"/>
        </w:rPr>
      </w:r>
    </w:p>
    <w:p w:rsidR="00000000" w:rsidDel="00000000" w:rsidP="00000000" w:rsidRDefault="00000000" w:rsidRPr="00000000" w14:paraId="000000A9">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maximum Call-Off Contract periods, including the initial term and any extensions, shall not exceed 60 Months (5 calendar years). </w:t>
      </w:r>
      <w:r w:rsidDel="00000000" w:rsidR="00000000" w:rsidRPr="00000000">
        <w:rPr>
          <w:rtl w:val="0"/>
        </w:rPr>
      </w:r>
    </w:p>
    <w:p w:rsidR="00000000" w:rsidDel="00000000" w:rsidP="00000000" w:rsidRDefault="00000000" w:rsidRPr="00000000" w14:paraId="000000AA">
      <w:pPr>
        <w:numPr>
          <w:ilvl w:val="3"/>
          <w:numId w:val="8"/>
        </w:numPr>
        <w:tabs>
          <w:tab w:val="left" w:leader="none" w:pos="709"/>
        </w:tabs>
        <w:spacing w:line="240" w:lineRule="auto"/>
        <w:ind w:left="0" w:hanging="2"/>
        <w:jc w:val="left"/>
        <w:rPr>
          <w:rFonts w:ascii="Calibri" w:cs="Calibri" w:eastAsia="Calibri" w:hAnsi="Calibri"/>
          <w:color w:val="000000"/>
        </w:rPr>
      </w:pPr>
      <w:bookmarkStart w:colFirst="0" w:colLast="0" w:name="_3rdcrjn" w:id="11"/>
      <w:bookmarkEnd w:id="11"/>
      <w:r w:rsidDel="00000000" w:rsidR="00000000" w:rsidRPr="00000000">
        <w:rPr>
          <w:rFonts w:ascii="Calibri" w:cs="Calibri" w:eastAsia="Calibri" w:hAnsi="Calibri"/>
          <w:color w:val="000000"/>
          <w:sz w:val="22"/>
          <w:szCs w:val="22"/>
          <w:rtl w:val="0"/>
        </w:rPr>
        <w:t xml:space="preserve">There are two tiers for the minimum Call-Off values for a Lot 2a Contract.</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4"/>
          <w:numId w:val="7"/>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80" w:right="0" w:hanging="780"/>
        <w:jc w:val="left"/>
        <w:rPr>
          <w:rFonts w:ascii="Calibri" w:cs="Calibri" w:eastAsia="Calibri" w:hAnsi="Calibri"/>
          <w:b w:val="0"/>
          <w:i w:val="0"/>
          <w:smallCaps w:val="0"/>
          <w:strike w:val="0"/>
          <w:color w:val="000000"/>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The minimum Call-Off Contract value for single-phase delivery work is £500,000.</w:t>
      </w: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4"/>
          <w:numId w:val="7"/>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80" w:right="0" w:hanging="780"/>
        <w:jc w:val="left"/>
        <w:rPr>
          <w:rFonts w:ascii="Calibri" w:cs="Calibri" w:eastAsia="Calibri" w:hAnsi="Calibri"/>
          <w:b w:val="0"/>
          <w:i w:val="0"/>
          <w:smallCaps w:val="0"/>
          <w:strike w:val="0"/>
          <w:color w:val="000000"/>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The minimum Call-Off Contract value for multi-phase project delivery is £3,000,000.</w:t>
      </w:r>
      <w:r w:rsidDel="00000000" w:rsidR="00000000" w:rsidRPr="00000000">
        <w:rPr>
          <w:rtl w:val="0"/>
        </w:rPr>
      </w:r>
    </w:p>
    <w:p w:rsidR="00000000" w:rsidDel="00000000" w:rsidP="00000000" w:rsidRDefault="00000000" w:rsidRPr="00000000" w14:paraId="000000AD">
      <w:pPr>
        <w:tabs>
          <w:tab w:val="left" w:leader="none" w:pos="709"/>
        </w:tabs>
        <w:spacing w:line="240" w:lineRule="auto"/>
        <w:ind w:left="0" w:hanging="2"/>
        <w:jc w:val="left"/>
        <w:rPr>
          <w:rFonts w:ascii="Calibri" w:cs="Calibri" w:eastAsia="Calibri" w:hAnsi="Calibri"/>
          <w:color w:val="000000"/>
          <w:sz w:val="22"/>
          <w:szCs w:val="22"/>
          <w:highlight w:val="yellow"/>
        </w:rPr>
      </w:pPr>
      <w:r w:rsidDel="00000000" w:rsidR="00000000" w:rsidRPr="00000000">
        <w:rPr>
          <w:rtl w:val="0"/>
        </w:rPr>
      </w:r>
    </w:p>
    <w:p w:rsidR="00000000" w:rsidDel="00000000" w:rsidP="00000000" w:rsidRDefault="00000000" w:rsidRPr="00000000" w14:paraId="000000AE">
      <w:pPr>
        <w:numPr>
          <w:ilvl w:val="1"/>
          <w:numId w:val="8"/>
        </w:numPr>
        <w:shd w:fill="ffffff" w:val="clear"/>
        <w:tabs>
          <w:tab w:val="left" w:leader="none" w:pos="709"/>
        </w:tabs>
        <w:spacing w:after="120" w:line="240" w:lineRule="auto"/>
        <w:ind w:left="0" w:hanging="2"/>
        <w:rPr>
          <w:color w:val="000000"/>
        </w:rPr>
      </w:pPr>
      <w:r w:rsidDel="00000000" w:rsidR="00000000" w:rsidRPr="00000000">
        <w:rPr>
          <w:rFonts w:ascii="Calibri" w:cs="Calibri" w:eastAsia="Calibri" w:hAnsi="Calibri"/>
          <w:b w:val="1"/>
          <w:color w:val="000000"/>
          <w:sz w:val="22"/>
          <w:szCs w:val="22"/>
          <w:rtl w:val="0"/>
        </w:rPr>
        <w:t xml:space="preserve">Service Provision 1 Lot 2b: Digital, Integration and Programme Application Services</w:t>
      </w:r>
      <w:r w:rsidDel="00000000" w:rsidR="00000000" w:rsidRPr="00000000">
        <w:rPr>
          <w:rFonts w:ascii="Calibri" w:cs="Calibri" w:eastAsia="Calibri" w:hAnsi="Calibri"/>
          <w:color w:val="000000"/>
          <w:sz w:val="22"/>
          <w:szCs w:val="22"/>
          <w:rtl w:val="0"/>
        </w:rPr>
        <w:t xml:space="preserve"> </w:t>
      </w:r>
      <w:r w:rsidDel="00000000" w:rsidR="00000000" w:rsidRPr="00000000">
        <w:rPr>
          <w:rtl w:val="0"/>
        </w:rPr>
      </w:r>
    </w:p>
    <w:p w:rsidR="00000000" w:rsidDel="00000000" w:rsidP="00000000" w:rsidRDefault="00000000" w:rsidRPr="00000000" w14:paraId="000000AF">
      <w:pPr>
        <w:shd w:fill="ffffff" w:val="clear"/>
        <w:tabs>
          <w:tab w:val="left" w:leader="none" w:pos="709"/>
        </w:tabs>
        <w:spacing w:after="12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2.3.1</w:t>
        <w:tab/>
        <w:t xml:space="preserve">Where requested by the Buyer, Suppliers will provide a range of Services and will deliver digital, integration and programme application services covering development, security, and operations (DevSecOps) capabilities for the development of applications using codable software technologies and/or programming languages. Services may include but are not limited to: </w:t>
      </w:r>
    </w:p>
    <w:p w:rsidR="00000000" w:rsidDel="00000000" w:rsidP="00000000" w:rsidRDefault="00000000" w:rsidRPr="00000000" w14:paraId="000000B0">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DevOps services support for ongoing live services; </w:t>
      </w:r>
      <w:r w:rsidDel="00000000" w:rsidR="00000000" w:rsidRPr="00000000">
        <w:rPr>
          <w:rtl w:val="0"/>
        </w:rPr>
      </w:r>
    </w:p>
    <w:p w:rsidR="00000000" w:rsidDel="00000000" w:rsidP="00000000" w:rsidRDefault="00000000" w:rsidRPr="00000000" w14:paraId="000000B1">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Digital design/early delivery services (either separately or combined) discovery (as extended under extended discovery under paragraph below) and/or Alpha phases; </w:t>
      </w:r>
      <w:r w:rsidDel="00000000" w:rsidR="00000000" w:rsidRPr="00000000">
        <w:rPr>
          <w:rtl w:val="0"/>
        </w:rPr>
      </w:r>
    </w:p>
    <w:p w:rsidR="00000000" w:rsidDel="00000000" w:rsidP="00000000" w:rsidRDefault="00000000" w:rsidRPr="00000000" w14:paraId="000000B2">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Build and transition services either separately combining Beta phase and/or retirement phases (including transition to Live). Buyers may choose to run a separate competition for DevOps services specific to Live running of a service or product; </w:t>
      </w:r>
      <w:r w:rsidDel="00000000" w:rsidR="00000000" w:rsidRPr="00000000">
        <w:rPr>
          <w:rtl w:val="0"/>
        </w:rPr>
      </w:r>
    </w:p>
    <w:p w:rsidR="00000000" w:rsidDel="00000000" w:rsidP="00000000" w:rsidRDefault="00000000" w:rsidRPr="00000000" w14:paraId="000000B3">
      <w:pPr>
        <w:numPr>
          <w:ilvl w:val="3"/>
          <w:numId w:val="8"/>
        </w:numPr>
        <w:tabs>
          <w:tab w:val="left" w:leader="none" w:pos="709"/>
        </w:tabs>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End-to-end development services with the ability to combine the full set of agile phases of discovery through to Live running and service optimisation; and </w:t>
      </w:r>
      <w:r w:rsidDel="00000000" w:rsidR="00000000" w:rsidRPr="00000000">
        <w:rPr>
          <w:rtl w:val="0"/>
        </w:rPr>
      </w:r>
    </w:p>
    <w:p w:rsidR="00000000" w:rsidDel="00000000" w:rsidP="00000000" w:rsidRDefault="00000000" w:rsidRPr="00000000" w14:paraId="000000B4">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Data and business information management services primarily targeted at building, enhancing and maintaining data assets, migrating data from one system to another and analysis and reporting from such data assets.</w:t>
      </w:r>
      <w:r w:rsidDel="00000000" w:rsidR="00000000" w:rsidRPr="00000000">
        <w:rPr>
          <w:rtl w:val="0"/>
        </w:rPr>
      </w:r>
    </w:p>
    <w:p w:rsidR="00000000" w:rsidDel="00000000" w:rsidP="00000000" w:rsidRDefault="00000000" w:rsidRPr="00000000" w14:paraId="000000B5">
      <w:pPr>
        <w:numPr>
          <w:ilvl w:val="2"/>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Supplier will be expected to work according to the Technology Code of Practice; the GDS Service Manual; any operating standards required by the Buyer and demonstrated understanding of what it means to work on the discovery, Alpha, Beta, Live or retirement phases described in the Service Manual. </w:t>
      </w:r>
      <w:r w:rsidDel="00000000" w:rsidR="00000000" w:rsidRPr="00000000">
        <w:rPr>
          <w:rtl w:val="0"/>
        </w:rPr>
      </w:r>
    </w:p>
    <w:p w:rsidR="00000000" w:rsidDel="00000000" w:rsidP="00000000" w:rsidRDefault="00000000" w:rsidRPr="00000000" w14:paraId="000000B6">
      <w:pPr>
        <w:numPr>
          <w:ilvl w:val="2"/>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foregoing service descriptions are in the context of development of product, platforms and services built on codable technologies or programming languages.</w:t>
      </w:r>
      <w:r w:rsidDel="00000000" w:rsidR="00000000" w:rsidRPr="00000000">
        <w:rPr>
          <w:rtl w:val="0"/>
        </w:rPr>
      </w:r>
    </w:p>
    <w:p w:rsidR="00000000" w:rsidDel="00000000" w:rsidP="00000000" w:rsidRDefault="00000000" w:rsidRPr="00000000" w14:paraId="000000B7">
      <w:pPr>
        <w:tabs>
          <w:tab w:val="left" w:leader="none" w:pos="709"/>
        </w:tabs>
        <w:spacing w:line="240" w:lineRule="auto"/>
        <w:ind w:left="0" w:hanging="2"/>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B8">
      <w:pPr>
        <w:numPr>
          <w:ilvl w:val="2"/>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Call-Off Procedure</w:t>
      </w:r>
      <w:r w:rsidDel="00000000" w:rsidR="00000000" w:rsidRPr="00000000">
        <w:rPr>
          <w:rtl w:val="0"/>
        </w:rPr>
      </w:r>
    </w:p>
    <w:p w:rsidR="00000000" w:rsidDel="00000000" w:rsidP="00000000" w:rsidRDefault="00000000" w:rsidRPr="00000000" w14:paraId="000000B9">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Award available via Further Competition Procedure or direct award. </w:t>
      </w:r>
      <w:r w:rsidDel="00000000" w:rsidR="00000000" w:rsidRPr="00000000">
        <w:rPr>
          <w:rtl w:val="0"/>
        </w:rPr>
      </w:r>
    </w:p>
    <w:p w:rsidR="00000000" w:rsidDel="00000000" w:rsidP="00000000" w:rsidRDefault="00000000" w:rsidRPr="00000000" w14:paraId="000000BA">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maximum Call-Off periods, including the initial term and any extensions, shall not exceed 60 Months (5 calendar years). </w:t>
      </w:r>
      <w:r w:rsidDel="00000000" w:rsidR="00000000" w:rsidRPr="00000000">
        <w:rPr>
          <w:rtl w:val="0"/>
        </w:rPr>
      </w:r>
    </w:p>
    <w:p w:rsidR="00000000" w:rsidDel="00000000" w:rsidP="00000000" w:rsidRDefault="00000000" w:rsidRPr="00000000" w14:paraId="000000BB">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There are two tiers for the minimum Call-Off values for a Lot 2b contract. </w:t>
      </w:r>
      <w:r w:rsidDel="00000000" w:rsidR="00000000" w:rsidRPr="00000000">
        <w:rPr>
          <w:rtl w:val="0"/>
        </w:rPr>
      </w:r>
    </w:p>
    <w:p w:rsidR="00000000" w:rsidDel="00000000" w:rsidP="00000000" w:rsidRDefault="00000000" w:rsidRPr="00000000" w14:paraId="000000BC">
      <w:pPr>
        <w:tabs>
          <w:tab w:val="left" w:leader="none" w:pos="709"/>
        </w:tabs>
        <w:spacing w:line="240" w:lineRule="auto"/>
        <w:ind w:left="0" w:hanging="2"/>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ab/>
        <w:t xml:space="preserve">2.3.4.3.1 The maximum Call-Off Contract value for single-phase delivery work is £500,000.</w:t>
      </w:r>
    </w:p>
    <w:p w:rsidR="00000000" w:rsidDel="00000000" w:rsidP="00000000" w:rsidRDefault="00000000" w:rsidRPr="00000000" w14:paraId="000000BD">
      <w:pPr>
        <w:tabs>
          <w:tab w:val="left" w:leader="none" w:pos="709"/>
        </w:tabs>
        <w:spacing w:line="240" w:lineRule="auto"/>
        <w:ind w:left="0" w:hanging="2"/>
        <w:jc w:val="left"/>
        <w:rPr>
          <w:rFonts w:ascii="Calibri" w:cs="Calibri" w:eastAsia="Calibri" w:hAnsi="Calibri"/>
          <w:color w:val="000000"/>
          <w:sz w:val="22"/>
          <w:szCs w:val="22"/>
          <w:highlight w:val="yellow"/>
        </w:rPr>
      </w:pPr>
      <w:r w:rsidDel="00000000" w:rsidR="00000000" w:rsidRPr="00000000">
        <w:rPr>
          <w:rFonts w:ascii="Calibri" w:cs="Calibri" w:eastAsia="Calibri" w:hAnsi="Calibri"/>
          <w:color w:val="000000"/>
          <w:sz w:val="22"/>
          <w:szCs w:val="22"/>
          <w:rtl w:val="0"/>
        </w:rPr>
        <w:t xml:space="preserve">2.3.4.3.2 The maximum Call-Off Contract value for multi-phase project delivery is £3,000,000.</w:t>
      </w:r>
      <w:r w:rsidDel="00000000" w:rsidR="00000000" w:rsidRPr="00000000">
        <w:rPr>
          <w:rtl w:val="0"/>
        </w:rPr>
      </w:r>
    </w:p>
    <w:p w:rsidR="00000000" w:rsidDel="00000000" w:rsidP="00000000" w:rsidRDefault="00000000" w:rsidRPr="00000000" w14:paraId="000000BE">
      <w:pPr>
        <w:shd w:fill="ffffff" w:val="clear"/>
        <w:tabs>
          <w:tab w:val="left" w:leader="none" w:pos="709"/>
        </w:tabs>
        <w:spacing w:after="120"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BF">
      <w:pPr>
        <w:numPr>
          <w:ilvl w:val="1"/>
          <w:numId w:val="8"/>
        </w:numPr>
        <w:shd w:fill="ffffff" w:val="clear"/>
        <w:tabs>
          <w:tab w:val="left" w:leader="none" w:pos="709"/>
        </w:tabs>
        <w:spacing w:line="240" w:lineRule="auto"/>
        <w:ind w:left="0" w:hanging="2"/>
        <w:rPr>
          <w:color w:val="000000"/>
        </w:rPr>
      </w:pPr>
      <w:r w:rsidDel="00000000" w:rsidR="00000000" w:rsidRPr="00000000">
        <w:rPr>
          <w:rFonts w:ascii="Calibri" w:cs="Calibri" w:eastAsia="Calibri" w:hAnsi="Calibri"/>
          <w:b w:val="1"/>
          <w:color w:val="000000"/>
          <w:sz w:val="22"/>
          <w:szCs w:val="22"/>
          <w:rtl w:val="0"/>
        </w:rPr>
        <w:t xml:space="preserve">Service Provision 1 Lot 3: Application and Integration Run Services </w:t>
      </w:r>
      <w:r w:rsidDel="00000000" w:rsidR="00000000" w:rsidRPr="00000000">
        <w:rPr>
          <w:rtl w:val="0"/>
        </w:rPr>
      </w:r>
    </w:p>
    <w:p w:rsidR="00000000" w:rsidDel="00000000" w:rsidP="00000000" w:rsidRDefault="00000000" w:rsidRPr="00000000" w14:paraId="000000C0">
      <w:pPr>
        <w:numPr>
          <w:ilvl w:val="2"/>
          <w:numId w:val="8"/>
        </w:numPr>
        <w:shd w:fill="ffffff" w:val="clear"/>
        <w:tabs>
          <w:tab w:val="left" w:leader="none" w:pos="709"/>
        </w:tabs>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222222"/>
          <w:sz w:val="22"/>
          <w:szCs w:val="22"/>
          <w:rtl w:val="0"/>
        </w:rPr>
        <w:t xml:space="preserve">The context of this Framework Agreement Lot 3 is primarily around the application maintenance/support/run of heritage technology or digital products and services. Such services may precede this Framework Agreement, or may have been created under another Lot in this Framework Agreement, or where the contract has specifically been limited to design, development, build and test services.</w:t>
      </w:r>
      <w:r w:rsidDel="00000000" w:rsidR="00000000" w:rsidRPr="00000000">
        <w:rPr>
          <w:rtl w:val="0"/>
        </w:rPr>
      </w:r>
    </w:p>
    <w:p w:rsidR="00000000" w:rsidDel="00000000" w:rsidP="00000000" w:rsidRDefault="00000000" w:rsidRPr="00000000" w14:paraId="000000C1">
      <w:pPr>
        <w:numPr>
          <w:ilvl w:val="2"/>
          <w:numId w:val="8"/>
        </w:numPr>
        <w:shd w:fill="ffffff" w:val="clear"/>
        <w:tabs>
          <w:tab w:val="left" w:leader="none" w:pos="709"/>
        </w:tabs>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222222"/>
          <w:sz w:val="22"/>
          <w:szCs w:val="22"/>
          <w:rtl w:val="0"/>
        </w:rPr>
        <w:t xml:space="preserve">Where a ‘run’ service is delivered within this Framework Agreement Lot 3, it may require build or augmentation services to enable break/fix, respond to policy change, ministerial decisions, machinery of government changes or general system performance and operability releases. Such design and development services are ancillary to the core run services for which this lot is intended. Core delivery services are described in paragraphs 2.4.3.1,2.4.3.2, 2.4.3.3, 2.4.3.4, 2.4.3.5, 2.4.3.6, 2.4.3.7 and 2.4.3.8. This Framework Agreement Lot 3 is not designed for Buyers to commission (in isolation) design, development, build and testing services that are not linked to run services provided as core delivery services under this Framework Agreement Lot 3.</w:t>
      </w:r>
      <w:r w:rsidDel="00000000" w:rsidR="00000000" w:rsidRPr="00000000">
        <w:rPr>
          <w:rtl w:val="0"/>
        </w:rPr>
      </w:r>
    </w:p>
    <w:p w:rsidR="00000000" w:rsidDel="00000000" w:rsidP="00000000" w:rsidRDefault="00000000" w:rsidRPr="00000000" w14:paraId="000000C2">
      <w:pPr>
        <w:numPr>
          <w:ilvl w:val="2"/>
          <w:numId w:val="8"/>
        </w:numPr>
        <w:shd w:fill="ffffff" w:val="clear"/>
        <w:tabs>
          <w:tab w:val="left" w:leader="none" w:pos="709"/>
        </w:tabs>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Where requested by the Buyer, Suppliers will provide a range of Services and will deliver Digital, Application and Integration run services including maintenance, augmentation and support of existing IT/digital services to the Buyer. These services will generally not have been developed using a DevSecOps approach or have followed the GDS agile delivery lifecycle.  Services may include but are not limited to:</w:t>
      </w:r>
      <w:r w:rsidDel="00000000" w:rsidR="00000000" w:rsidRPr="00000000">
        <w:rPr>
          <w:rtl w:val="0"/>
        </w:rPr>
      </w:r>
    </w:p>
    <w:p w:rsidR="00000000" w:rsidDel="00000000" w:rsidP="00000000" w:rsidRDefault="00000000" w:rsidRPr="00000000" w14:paraId="000000C3">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Application management, support and development;</w:t>
      </w:r>
      <w:r w:rsidDel="00000000" w:rsidR="00000000" w:rsidRPr="00000000">
        <w:rPr>
          <w:rtl w:val="0"/>
        </w:rPr>
      </w:r>
    </w:p>
    <w:p w:rsidR="00000000" w:rsidDel="00000000" w:rsidP="00000000" w:rsidRDefault="00000000" w:rsidRPr="00000000" w14:paraId="000000C4">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Data warehouse, database, data management and middleware;</w:t>
      </w:r>
      <w:r w:rsidDel="00000000" w:rsidR="00000000" w:rsidRPr="00000000">
        <w:rPr>
          <w:rtl w:val="0"/>
        </w:rPr>
      </w:r>
    </w:p>
    <w:p w:rsidR="00000000" w:rsidDel="00000000" w:rsidP="00000000" w:rsidRDefault="00000000" w:rsidRPr="00000000" w14:paraId="000000C5">
      <w:pPr>
        <w:numPr>
          <w:ilvl w:val="3"/>
          <w:numId w:val="8"/>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Application operations engineering maintenance and support of existing IT/digital services, package software applications, enterprise applications, newly developed services, Application Programming Interfaces (API), API platforms and Enterprise Service Bus (ESB) and business developed applications;</w:t>
      </w:r>
      <w:r w:rsidDel="00000000" w:rsidR="00000000" w:rsidRPr="00000000">
        <w:rPr>
          <w:rtl w:val="0"/>
        </w:rPr>
      </w:r>
    </w:p>
    <w:p w:rsidR="00000000" w:rsidDel="00000000" w:rsidP="00000000" w:rsidRDefault="00000000" w:rsidRPr="00000000" w14:paraId="000000C6">
      <w:pPr>
        <w:numPr>
          <w:ilvl w:val="3"/>
          <w:numId w:val="8"/>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Processes and methodologies for maintaining, enhancing, managing, and supporting custom or enterprise applications, packaged software applications, escrow or network-delivered applications including cloud platforms;  </w:t>
      </w:r>
      <w:r w:rsidDel="00000000" w:rsidR="00000000" w:rsidRPr="00000000">
        <w:rPr>
          <w:rtl w:val="0"/>
        </w:rPr>
      </w:r>
    </w:p>
    <w:p w:rsidR="00000000" w:rsidDel="00000000" w:rsidP="00000000" w:rsidRDefault="00000000" w:rsidRPr="00000000" w14:paraId="000000C7">
      <w:pPr>
        <w:numPr>
          <w:ilvl w:val="3"/>
          <w:numId w:val="8"/>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Development of new and existing applications as part of a complete application management and support solution;</w:t>
      </w:r>
      <w:r w:rsidDel="00000000" w:rsidR="00000000" w:rsidRPr="00000000">
        <w:rPr>
          <w:rtl w:val="0"/>
        </w:rPr>
      </w:r>
    </w:p>
    <w:p w:rsidR="00000000" w:rsidDel="00000000" w:rsidP="00000000" w:rsidRDefault="00000000" w:rsidRPr="00000000" w14:paraId="000000C8">
      <w:pPr>
        <w:numPr>
          <w:ilvl w:val="3"/>
          <w:numId w:val="8"/>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Continuous and whole software lifecycle management using waterfall, rapid application development, joint application development, DevOps and agile methodologies, to deliver further iterative application functional and non-functional changes to existing services, IT operations and other activities in-line with Buyer requirements and priorities; </w:t>
      </w:r>
      <w:r w:rsidDel="00000000" w:rsidR="00000000" w:rsidRPr="00000000">
        <w:rPr>
          <w:rtl w:val="0"/>
        </w:rPr>
      </w:r>
    </w:p>
    <w:p w:rsidR="00000000" w:rsidDel="00000000" w:rsidP="00000000" w:rsidRDefault="00000000" w:rsidRPr="00000000" w14:paraId="000000C9">
      <w:pPr>
        <w:numPr>
          <w:ilvl w:val="3"/>
          <w:numId w:val="8"/>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Maintenance of infrastructure as code, ‘platform as a service’ and ‘software as a service’ run and integration via technology or service stacks;</w:t>
      </w:r>
      <w:r w:rsidDel="00000000" w:rsidR="00000000" w:rsidRPr="00000000">
        <w:rPr>
          <w:rtl w:val="0"/>
        </w:rPr>
      </w:r>
    </w:p>
    <w:p w:rsidR="00000000" w:rsidDel="00000000" w:rsidP="00000000" w:rsidRDefault="00000000" w:rsidRPr="00000000" w14:paraId="000000CA">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Knowledge transfer and skills development to support the Intelligent Client capability of the Buyer;</w:t>
      </w:r>
      <w:r w:rsidDel="00000000" w:rsidR="00000000" w:rsidRPr="00000000">
        <w:rPr>
          <w:rtl w:val="0"/>
        </w:rPr>
      </w:r>
    </w:p>
    <w:p w:rsidR="00000000" w:rsidDel="00000000" w:rsidP="00000000" w:rsidRDefault="00000000" w:rsidRPr="00000000" w14:paraId="000000CB">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Legacy test and quality control services;</w:t>
      </w:r>
      <w:r w:rsidDel="00000000" w:rsidR="00000000" w:rsidRPr="00000000">
        <w:rPr>
          <w:rtl w:val="0"/>
        </w:rPr>
      </w:r>
    </w:p>
    <w:p w:rsidR="00000000" w:rsidDel="00000000" w:rsidP="00000000" w:rsidRDefault="00000000" w:rsidRPr="00000000" w14:paraId="000000CC">
      <w:pPr>
        <w:numPr>
          <w:ilvl w:val="3"/>
          <w:numId w:val="8"/>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process workflows, testing and quality assurance, deployment, and delivery that support continuous software lifecycle management;</w:t>
      </w:r>
      <w:r w:rsidDel="00000000" w:rsidR="00000000" w:rsidRPr="00000000">
        <w:rPr>
          <w:rtl w:val="0"/>
        </w:rPr>
      </w:r>
    </w:p>
    <w:p w:rsidR="00000000" w:rsidDel="00000000" w:rsidP="00000000" w:rsidRDefault="00000000" w:rsidRPr="00000000" w14:paraId="000000CD">
      <w:pPr>
        <w:numPr>
          <w:ilvl w:val="3"/>
          <w:numId w:val="8"/>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Management of any third party suppliers involved in application development and support to ensure smooth integration onto the estate;</w:t>
      </w:r>
      <w:r w:rsidDel="00000000" w:rsidR="00000000" w:rsidRPr="00000000">
        <w:rPr>
          <w:rtl w:val="0"/>
        </w:rPr>
      </w:r>
    </w:p>
    <w:p w:rsidR="00000000" w:rsidDel="00000000" w:rsidP="00000000" w:rsidRDefault="00000000" w:rsidRPr="00000000" w14:paraId="000000CE">
      <w:pPr>
        <w:numPr>
          <w:ilvl w:val="3"/>
          <w:numId w:val="8"/>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Continuous improvement or optimisation of systems and services, including code rationalisation where appropriate to modernise its IT estate, licence management underpinning future transformation and reduction of run service cost;</w:t>
      </w:r>
      <w:r w:rsidDel="00000000" w:rsidR="00000000" w:rsidRPr="00000000">
        <w:rPr>
          <w:rtl w:val="0"/>
        </w:rPr>
      </w:r>
    </w:p>
    <w:p w:rsidR="00000000" w:rsidDel="00000000" w:rsidP="00000000" w:rsidRDefault="00000000" w:rsidRPr="00000000" w14:paraId="000000CF">
      <w:pPr>
        <w:numPr>
          <w:ilvl w:val="3"/>
          <w:numId w:val="8"/>
        </w:numPr>
        <w:tabs>
          <w:tab w:val="left" w:leader="none" w:pos="709"/>
          <w:tab w:val="left" w:leader="none" w:pos="1276"/>
        </w:tabs>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Decommissioning of systems and services; and </w:t>
      </w:r>
      <w:r w:rsidDel="00000000" w:rsidR="00000000" w:rsidRPr="00000000">
        <w:rPr>
          <w:rtl w:val="0"/>
        </w:rPr>
      </w:r>
    </w:p>
    <w:p w:rsidR="00000000" w:rsidDel="00000000" w:rsidP="00000000" w:rsidRDefault="00000000" w:rsidRPr="00000000" w14:paraId="000000D0">
      <w:pPr>
        <w:numPr>
          <w:ilvl w:val="3"/>
          <w:numId w:val="8"/>
        </w:numPr>
        <w:tabs>
          <w:tab w:val="left" w:leader="none" w:pos="709"/>
        </w:tabs>
        <w:spacing w:after="200"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Hardware and software asset management.</w:t>
      </w:r>
      <w:r w:rsidDel="00000000" w:rsidR="00000000" w:rsidRPr="00000000">
        <w:rPr>
          <w:rtl w:val="0"/>
        </w:rPr>
      </w:r>
    </w:p>
    <w:p w:rsidR="00000000" w:rsidDel="00000000" w:rsidP="00000000" w:rsidRDefault="00000000" w:rsidRPr="00000000" w14:paraId="000000D1">
      <w:pPr>
        <w:tabs>
          <w:tab w:val="left" w:leader="none" w:pos="709"/>
          <w:tab w:val="left" w:leader="none" w:pos="1276"/>
        </w:tabs>
        <w:spacing w:line="240" w:lineRule="auto"/>
        <w:ind w:left="0" w:hanging="2"/>
        <w:jc w:val="left"/>
        <w:rPr>
          <w:rFonts w:ascii="Calibri" w:cs="Calibri" w:eastAsia="Calibri" w:hAnsi="Calibri"/>
          <w:color w:val="000000"/>
          <w:sz w:val="22"/>
          <w:szCs w:val="22"/>
        </w:rPr>
      </w:pPr>
      <w:bookmarkStart w:colFirst="0" w:colLast="0" w:name="_26in1rg" w:id="12"/>
      <w:bookmarkEnd w:id="12"/>
      <w:r w:rsidDel="00000000" w:rsidR="00000000" w:rsidRPr="00000000">
        <w:rPr>
          <w:rtl w:val="0"/>
        </w:rPr>
      </w:r>
    </w:p>
    <w:p w:rsidR="00000000" w:rsidDel="00000000" w:rsidP="00000000" w:rsidRDefault="00000000" w:rsidRPr="00000000" w14:paraId="000000D2">
      <w:pPr>
        <w:numPr>
          <w:ilvl w:val="2"/>
          <w:numId w:val="8"/>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Data Warehouse, Database, Data Management and Middleware</w:t>
      </w:r>
      <w:r w:rsidDel="00000000" w:rsidR="00000000" w:rsidRPr="00000000">
        <w:rPr>
          <w:rtl w:val="0"/>
        </w:rPr>
      </w:r>
    </w:p>
    <w:p w:rsidR="00000000" w:rsidDel="00000000" w:rsidP="00000000" w:rsidRDefault="00000000" w:rsidRPr="00000000" w14:paraId="000000D3">
      <w:pPr>
        <w:numPr>
          <w:ilvl w:val="3"/>
          <w:numId w:val="8"/>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In the context of applications, Suppliers will provide a range of Services to deliver data warehouse, database, data management, middleware management and integration practices, techniques and tooling for achieving consistent access and smart use-case-based recovery to structured and unstructured data across federated technology stacks. Services which may include but are not limited to:</w:t>
      </w:r>
      <w:r w:rsidDel="00000000" w:rsidR="00000000" w:rsidRPr="00000000">
        <w:rPr>
          <w:rtl w:val="0"/>
        </w:rPr>
      </w:r>
    </w:p>
    <w:p w:rsidR="00000000" w:rsidDel="00000000" w:rsidP="00000000" w:rsidRDefault="00000000" w:rsidRPr="00000000" w14:paraId="000000D4">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Data, database and middleware management and integration practices;</w:t>
      </w:r>
      <w:r w:rsidDel="00000000" w:rsidR="00000000" w:rsidRPr="00000000">
        <w:rPr>
          <w:rtl w:val="0"/>
        </w:rPr>
      </w:r>
    </w:p>
    <w:p w:rsidR="00000000" w:rsidDel="00000000" w:rsidP="00000000" w:rsidRDefault="00000000" w:rsidRPr="00000000" w14:paraId="000000D5">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Architectural techniques and tools;</w:t>
      </w:r>
      <w:r w:rsidDel="00000000" w:rsidR="00000000" w:rsidRPr="00000000">
        <w:rPr>
          <w:rtl w:val="0"/>
        </w:rPr>
      </w:r>
    </w:p>
    <w:p w:rsidR="00000000" w:rsidDel="00000000" w:rsidP="00000000" w:rsidRDefault="00000000" w:rsidRPr="00000000" w14:paraId="000000D6">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Installation, configuration, management, and support (1st or 3rd Party) of databases; and</w:t>
      </w:r>
      <w:r w:rsidDel="00000000" w:rsidR="00000000" w:rsidRPr="00000000">
        <w:rPr>
          <w:rtl w:val="0"/>
        </w:rPr>
      </w:r>
    </w:p>
    <w:p w:rsidR="00000000" w:rsidDel="00000000" w:rsidP="00000000" w:rsidRDefault="00000000" w:rsidRPr="00000000" w14:paraId="000000D7">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Data extraction, translation, transfer, conversion and backup and recovery.</w:t>
      </w:r>
      <w:r w:rsidDel="00000000" w:rsidR="00000000" w:rsidRPr="00000000">
        <w:rPr>
          <w:rtl w:val="0"/>
        </w:rPr>
      </w:r>
    </w:p>
    <w:p w:rsidR="00000000" w:rsidDel="00000000" w:rsidP="00000000" w:rsidRDefault="00000000" w:rsidRPr="00000000" w14:paraId="000000D8">
      <w:pPr>
        <w:tabs>
          <w:tab w:val="left" w:leader="none" w:pos="709"/>
        </w:tabs>
        <w:spacing w:line="240" w:lineRule="auto"/>
        <w:ind w:left="0" w:hanging="2"/>
        <w:jc w:val="left"/>
        <w:rPr>
          <w:rFonts w:ascii="Calibri" w:cs="Calibri" w:eastAsia="Calibri" w:hAnsi="Calibri"/>
          <w:color w:val="000000"/>
          <w:sz w:val="22"/>
          <w:szCs w:val="22"/>
        </w:rPr>
      </w:pPr>
      <w:bookmarkStart w:colFirst="0" w:colLast="0" w:name="_lnxbz9" w:id="13"/>
      <w:bookmarkEnd w:id="13"/>
      <w:r w:rsidDel="00000000" w:rsidR="00000000" w:rsidRPr="00000000">
        <w:rPr>
          <w:rtl w:val="0"/>
        </w:rPr>
      </w:r>
    </w:p>
    <w:p w:rsidR="00000000" w:rsidDel="00000000" w:rsidP="00000000" w:rsidRDefault="00000000" w:rsidRPr="00000000" w14:paraId="000000D9">
      <w:pPr>
        <w:numPr>
          <w:ilvl w:val="2"/>
          <w:numId w:val="8"/>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Knowledge Transfer and Skills Development </w:t>
      </w:r>
      <w:r w:rsidDel="00000000" w:rsidR="00000000" w:rsidRPr="00000000">
        <w:rPr>
          <w:rtl w:val="0"/>
        </w:rPr>
      </w:r>
    </w:p>
    <w:p w:rsidR="00000000" w:rsidDel="00000000" w:rsidP="00000000" w:rsidRDefault="00000000" w:rsidRPr="00000000" w14:paraId="000000DA">
      <w:pPr>
        <w:numPr>
          <w:ilvl w:val="3"/>
          <w:numId w:val="8"/>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Knowledge transfer and skills development services to enable the Buyer to enhance its Intelligent Client capability, covering the ability to exercise oversight, planning, design, delivery, and validation of the services delivered for digital, application and integration run services. </w:t>
      </w:r>
      <w:r w:rsidDel="00000000" w:rsidR="00000000" w:rsidRPr="00000000">
        <w:rPr>
          <w:rtl w:val="0"/>
        </w:rPr>
      </w:r>
    </w:p>
    <w:p w:rsidR="00000000" w:rsidDel="00000000" w:rsidP="00000000" w:rsidRDefault="00000000" w:rsidRPr="00000000" w14:paraId="000000DB">
      <w:pPr>
        <w:tabs>
          <w:tab w:val="left" w:leader="none" w:pos="709"/>
          <w:tab w:val="left" w:leader="none" w:pos="1276"/>
        </w:tabs>
        <w:spacing w:line="240" w:lineRule="auto"/>
        <w:ind w:left="0" w:hanging="2"/>
        <w:jc w:val="left"/>
        <w:rPr>
          <w:rFonts w:ascii="Calibri" w:cs="Calibri" w:eastAsia="Calibri" w:hAnsi="Calibri"/>
          <w:color w:val="000000"/>
          <w:sz w:val="22"/>
          <w:szCs w:val="22"/>
        </w:rPr>
      </w:pPr>
      <w:bookmarkStart w:colFirst="0" w:colLast="0" w:name="_35nkun2" w:id="14"/>
      <w:bookmarkEnd w:id="14"/>
      <w:r w:rsidDel="00000000" w:rsidR="00000000" w:rsidRPr="00000000">
        <w:rPr>
          <w:rtl w:val="0"/>
        </w:rPr>
      </w:r>
    </w:p>
    <w:p w:rsidR="00000000" w:rsidDel="00000000" w:rsidP="00000000" w:rsidRDefault="00000000" w:rsidRPr="00000000" w14:paraId="000000DC">
      <w:pPr>
        <w:numPr>
          <w:ilvl w:val="2"/>
          <w:numId w:val="8"/>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Legacy Test and Quality Control Services</w:t>
      </w:r>
      <w:r w:rsidDel="00000000" w:rsidR="00000000" w:rsidRPr="00000000">
        <w:rPr>
          <w:rtl w:val="0"/>
        </w:rPr>
      </w:r>
    </w:p>
    <w:p w:rsidR="00000000" w:rsidDel="00000000" w:rsidP="00000000" w:rsidRDefault="00000000" w:rsidRPr="00000000" w14:paraId="000000DD">
      <w:pPr>
        <w:numPr>
          <w:ilvl w:val="3"/>
          <w:numId w:val="8"/>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Provide a range of testing/quality control services which may include but are not limited to:</w:t>
      </w:r>
      <w:r w:rsidDel="00000000" w:rsidR="00000000" w:rsidRPr="00000000">
        <w:rPr>
          <w:rtl w:val="0"/>
        </w:rPr>
      </w:r>
    </w:p>
    <w:p w:rsidR="00000000" w:rsidDel="00000000" w:rsidP="00000000" w:rsidRDefault="00000000" w:rsidRPr="00000000" w14:paraId="000000DE">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End to end test management and functional testing;</w:t>
      </w:r>
      <w:r w:rsidDel="00000000" w:rsidR="00000000" w:rsidRPr="00000000">
        <w:rPr>
          <w:rtl w:val="0"/>
        </w:rPr>
      </w:r>
    </w:p>
    <w:p w:rsidR="00000000" w:rsidDel="00000000" w:rsidP="00000000" w:rsidRDefault="00000000" w:rsidRPr="00000000" w14:paraId="000000DF">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System/service unit testing;</w:t>
      </w:r>
      <w:r w:rsidDel="00000000" w:rsidR="00000000" w:rsidRPr="00000000">
        <w:rPr>
          <w:rtl w:val="0"/>
        </w:rPr>
      </w:r>
    </w:p>
    <w:p w:rsidR="00000000" w:rsidDel="00000000" w:rsidP="00000000" w:rsidRDefault="00000000" w:rsidRPr="00000000" w14:paraId="000000E0">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System/service operational acceptance testing;</w:t>
      </w:r>
      <w:r w:rsidDel="00000000" w:rsidR="00000000" w:rsidRPr="00000000">
        <w:rPr>
          <w:rtl w:val="0"/>
        </w:rPr>
      </w:r>
    </w:p>
    <w:p w:rsidR="00000000" w:rsidDel="00000000" w:rsidP="00000000" w:rsidRDefault="00000000" w:rsidRPr="00000000" w14:paraId="000000E1">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Performance and volume testing; </w:t>
      </w:r>
      <w:r w:rsidDel="00000000" w:rsidR="00000000" w:rsidRPr="00000000">
        <w:rPr>
          <w:rtl w:val="0"/>
        </w:rPr>
      </w:r>
    </w:p>
    <w:p w:rsidR="00000000" w:rsidDel="00000000" w:rsidP="00000000" w:rsidRDefault="00000000" w:rsidRPr="00000000" w14:paraId="000000E2">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System integration testing; and </w:t>
      </w:r>
      <w:r w:rsidDel="00000000" w:rsidR="00000000" w:rsidRPr="00000000">
        <w:rPr>
          <w:rtl w:val="0"/>
        </w:rPr>
      </w:r>
    </w:p>
    <w:p w:rsidR="00000000" w:rsidDel="00000000" w:rsidP="00000000" w:rsidRDefault="00000000" w:rsidRPr="00000000" w14:paraId="000000E3">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Platforms. </w:t>
      </w:r>
      <w:r w:rsidDel="00000000" w:rsidR="00000000" w:rsidRPr="00000000">
        <w:rPr>
          <w:rtl w:val="0"/>
        </w:rPr>
      </w:r>
    </w:p>
    <w:p w:rsidR="00000000" w:rsidDel="00000000" w:rsidP="00000000" w:rsidRDefault="00000000" w:rsidRPr="00000000" w14:paraId="000000E4">
      <w:pPr>
        <w:tabs>
          <w:tab w:val="left" w:leader="none" w:pos="709"/>
        </w:tabs>
        <w:spacing w:line="240" w:lineRule="auto"/>
        <w:ind w:left="0" w:hanging="2"/>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E5">
      <w:pPr>
        <w:tabs>
          <w:tab w:val="left" w:leader="none" w:pos="709"/>
        </w:tabs>
        <w:spacing w:line="240" w:lineRule="auto"/>
        <w:ind w:left="0" w:hanging="851"/>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2.4.7 Hardware and Software Asset Management</w:t>
      </w:r>
    </w:p>
    <w:p w:rsidR="00000000" w:rsidDel="00000000" w:rsidP="00000000" w:rsidRDefault="00000000" w:rsidRPr="00000000" w14:paraId="000000E6">
      <w:pPr>
        <w:tabs>
          <w:tab w:val="left" w:leader="none" w:pos="709"/>
        </w:tabs>
        <w:spacing w:line="240" w:lineRule="auto"/>
        <w:ind w:hanging="849"/>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2.4.7.1 Suppliers will provide a range of Services to deliver full hardware and software asset management. </w:t>
      </w:r>
    </w:p>
    <w:p w:rsidR="00000000" w:rsidDel="00000000" w:rsidP="00000000" w:rsidRDefault="00000000" w:rsidRPr="00000000" w14:paraId="000000E7">
      <w:pPr>
        <w:tabs>
          <w:tab w:val="left" w:leader="none" w:pos="709"/>
        </w:tabs>
        <w:spacing w:line="240" w:lineRule="auto"/>
        <w:ind w:left="0" w:hanging="2"/>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E8">
      <w:pPr>
        <w:tabs>
          <w:tab w:val="left" w:leader="none" w:pos="709"/>
          <w:tab w:val="left" w:leader="none" w:pos="1276"/>
        </w:tabs>
        <w:spacing w:line="240" w:lineRule="auto"/>
        <w:ind w:hanging="849"/>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2.4.8 Call-Off Procedure</w:t>
      </w:r>
    </w:p>
    <w:p w:rsidR="00000000" w:rsidDel="00000000" w:rsidP="00000000" w:rsidRDefault="00000000" w:rsidRPr="00000000" w14:paraId="000000E9">
      <w:pPr>
        <w:tabs>
          <w:tab w:val="left" w:leader="none" w:pos="709"/>
          <w:tab w:val="left" w:leader="none" w:pos="1276"/>
        </w:tabs>
        <w:spacing w:line="240" w:lineRule="auto"/>
        <w:ind w:left="0" w:hanging="708"/>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2.4.8.1 Award available via Further Competition Procedure or direct award.</w:t>
      </w:r>
    </w:p>
    <w:p w:rsidR="00000000" w:rsidDel="00000000" w:rsidP="00000000" w:rsidRDefault="00000000" w:rsidRPr="00000000" w14:paraId="000000EA">
      <w:pPr>
        <w:tabs>
          <w:tab w:val="left" w:leader="none" w:pos="709"/>
          <w:tab w:val="left" w:leader="none" w:pos="1276"/>
        </w:tabs>
        <w:spacing w:after="200" w:line="240" w:lineRule="auto"/>
        <w:ind w:left="0" w:hanging="708"/>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2.4.8.2 The maximum Call-Off Contract periods, including the initial term, and any extensions, shall not exceed 84 Months (7 calendar years).</w:t>
      </w:r>
    </w:p>
    <w:p w:rsidR="00000000" w:rsidDel="00000000" w:rsidP="00000000" w:rsidRDefault="00000000" w:rsidRPr="00000000" w14:paraId="000000EB">
      <w:pPr>
        <w:tabs>
          <w:tab w:val="left" w:leader="none" w:pos="709"/>
          <w:tab w:val="left" w:leader="none" w:pos="1276"/>
        </w:tabs>
        <w:spacing w:after="200" w:line="240" w:lineRule="auto"/>
        <w:ind w:left="0" w:hanging="2"/>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EC">
      <w:pPr>
        <w:tabs>
          <w:tab w:val="left" w:leader="none" w:pos="709"/>
          <w:tab w:val="left" w:leader="none" w:pos="1276"/>
        </w:tabs>
        <w:spacing w:after="200" w:line="240" w:lineRule="auto"/>
        <w:ind w:left="0" w:hanging="2"/>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ED">
      <w:pPr>
        <w:numPr>
          <w:ilvl w:val="1"/>
          <w:numId w:val="8"/>
        </w:numPr>
        <w:tabs>
          <w:tab w:val="left" w:leader="none" w:pos="709"/>
        </w:tabs>
        <w:spacing w:line="240" w:lineRule="auto"/>
        <w:ind w:left="0" w:hanging="2"/>
        <w:jc w:val="left"/>
        <w:rPr>
          <w:color w:val="000000"/>
        </w:rPr>
      </w:pPr>
      <w:r w:rsidDel="00000000" w:rsidR="00000000" w:rsidRPr="00000000">
        <w:rPr>
          <w:rFonts w:ascii="Calibri" w:cs="Calibri" w:eastAsia="Calibri" w:hAnsi="Calibri"/>
          <w:b w:val="1"/>
          <w:color w:val="000000"/>
          <w:sz w:val="22"/>
          <w:szCs w:val="22"/>
          <w:rtl w:val="0"/>
        </w:rPr>
        <w:t xml:space="preserve">Service Provision 1 Lot 4a: Multi Product Configuration Services </w:t>
      </w:r>
      <w:r w:rsidDel="00000000" w:rsidR="00000000" w:rsidRPr="00000000">
        <w:rPr>
          <w:rtl w:val="0"/>
        </w:rPr>
      </w:r>
    </w:p>
    <w:p w:rsidR="00000000" w:rsidDel="00000000" w:rsidP="00000000" w:rsidRDefault="00000000" w:rsidRPr="00000000" w14:paraId="000000EE">
      <w:pPr>
        <w:numPr>
          <w:ilvl w:val="2"/>
          <w:numId w:val="8"/>
        </w:numPr>
        <w:shd w:fill="ffffff" w:val="clear"/>
        <w:tabs>
          <w:tab w:val="left" w:leader="none" w:pos="709"/>
        </w:tabs>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222222"/>
          <w:sz w:val="22"/>
          <w:szCs w:val="22"/>
          <w:rtl w:val="0"/>
        </w:rPr>
        <w:t xml:space="preserve">The context of this Framework Agreement Lots 4a are primarily around the design, build and delivery of digital products and services in configurable (including low-code/no-code) software products and platforms, whether as a net new service or transformational of existing systems. In a DevSecOps context buyers will often commission build services with the intent that the same teams, responsible for delivery up to Live/Hypercare, will also run and optimise the services once they have entered into the application maintenance/support/run phase. Commissioning such run services is permissible under Framework Agreement Lot 4a as an ancillary to or run-on of application design and build services delivered under Framework Agreement Lot 4a. </w:t>
      </w:r>
      <w:r w:rsidDel="00000000" w:rsidR="00000000" w:rsidRPr="00000000">
        <w:rPr>
          <w:rtl w:val="0"/>
        </w:rPr>
      </w:r>
    </w:p>
    <w:p w:rsidR="00000000" w:rsidDel="00000000" w:rsidP="00000000" w:rsidRDefault="00000000" w:rsidRPr="00000000" w14:paraId="000000EF">
      <w:pPr>
        <w:numPr>
          <w:ilvl w:val="2"/>
          <w:numId w:val="8"/>
        </w:numPr>
        <w:shd w:fill="ffffff" w:val="clear"/>
        <w:tabs>
          <w:tab w:val="left" w:leader="none" w:pos="709"/>
        </w:tabs>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222222"/>
          <w:sz w:val="22"/>
          <w:szCs w:val="22"/>
          <w:rtl w:val="0"/>
        </w:rPr>
        <w:t xml:space="preserve">Application maintenance/support/run cannot be commissioned solely as a core service under this Framework Agreement Lot 4a. These services can only be commissioned alongside commissioning of a core delivery service. Core delivery services are described in paragraphs 2.5.3.1, 2.5.3.2, 2.5.3.3, 2.5.3.4, 2.5.3.5 and 2.5.3.6. Services that are solely focused on DevOps support for live services as referenced as 2.5.3.1 and ‘run and service optimisation’ referenced at 2.5.3.3 are optional/ancillary services and cannot be commissioned without being incidental to the commissioning of a core service.</w:t>
      </w:r>
      <w:r w:rsidDel="00000000" w:rsidR="00000000" w:rsidRPr="00000000">
        <w:rPr>
          <w:rtl w:val="0"/>
        </w:rPr>
      </w:r>
    </w:p>
    <w:p w:rsidR="00000000" w:rsidDel="00000000" w:rsidP="00000000" w:rsidRDefault="00000000" w:rsidRPr="00000000" w14:paraId="000000F0">
      <w:pPr>
        <w:numPr>
          <w:ilvl w:val="2"/>
          <w:numId w:val="8"/>
        </w:numPr>
        <w:shd w:fill="ffffff" w:val="clear"/>
        <w:tabs>
          <w:tab w:val="left" w:leader="none" w:pos="709"/>
        </w:tabs>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Where requested by the Buyer, Suppliers will provide a range of Services and will deliver multi product configuration services to the Buyer. Services may include but are not limited to:</w:t>
      </w:r>
      <w:r w:rsidDel="00000000" w:rsidR="00000000" w:rsidRPr="00000000">
        <w:rPr>
          <w:rtl w:val="0"/>
        </w:rPr>
      </w:r>
    </w:p>
    <w:p w:rsidR="00000000" w:rsidDel="00000000" w:rsidP="00000000" w:rsidRDefault="00000000" w:rsidRPr="00000000" w14:paraId="000000F1">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DevOps Services support for ongoing live services;  </w:t>
      </w:r>
      <w:r w:rsidDel="00000000" w:rsidR="00000000" w:rsidRPr="00000000">
        <w:rPr>
          <w:rtl w:val="0"/>
        </w:rPr>
      </w:r>
    </w:p>
    <w:p w:rsidR="00000000" w:rsidDel="00000000" w:rsidP="00000000" w:rsidRDefault="00000000" w:rsidRPr="00000000" w14:paraId="000000F2">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Digital Design/Early Delivery Services. Either separately or combined discovery (as extended under extended discovery under paragraph below) and/or Alpha phases;  </w:t>
      </w:r>
      <w:r w:rsidDel="00000000" w:rsidR="00000000" w:rsidRPr="00000000">
        <w:rPr>
          <w:rtl w:val="0"/>
        </w:rPr>
      </w:r>
    </w:p>
    <w:p w:rsidR="00000000" w:rsidDel="00000000" w:rsidP="00000000" w:rsidRDefault="00000000" w:rsidRPr="00000000" w14:paraId="000000F3">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Build and Transition Services either separately combining Beta phase and/or retirement phases (including transition to Live). Buyers may choose to run a separate competition for DevOps Services specific to Live running of a Service or product;  </w:t>
      </w:r>
      <w:r w:rsidDel="00000000" w:rsidR="00000000" w:rsidRPr="00000000">
        <w:rPr>
          <w:rtl w:val="0"/>
        </w:rPr>
      </w:r>
    </w:p>
    <w:p w:rsidR="00000000" w:rsidDel="00000000" w:rsidP="00000000" w:rsidRDefault="00000000" w:rsidRPr="00000000" w14:paraId="000000F4">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End-to-end development services with the ability to combine the full set of agile phases of discovery through to Live running and service optimisation; </w:t>
      </w:r>
      <w:r w:rsidDel="00000000" w:rsidR="00000000" w:rsidRPr="00000000">
        <w:rPr>
          <w:rtl w:val="0"/>
        </w:rPr>
      </w:r>
    </w:p>
    <w:p w:rsidR="00000000" w:rsidDel="00000000" w:rsidP="00000000" w:rsidRDefault="00000000" w:rsidRPr="00000000" w14:paraId="000000F5">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Data and business information management services primarily targeted at building, enhancing, and maintaining data assets, migrating data from one system to another and analysis and reporting from such data assets; and</w:t>
      </w:r>
      <w:r w:rsidDel="00000000" w:rsidR="00000000" w:rsidRPr="00000000">
        <w:rPr>
          <w:rtl w:val="0"/>
        </w:rPr>
      </w:r>
    </w:p>
    <w:p w:rsidR="00000000" w:rsidDel="00000000" w:rsidP="00000000" w:rsidRDefault="00000000" w:rsidRPr="00000000" w14:paraId="000000F6">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Knowledge transfer and skills development to support the Intelligent Client capability of the Buyer.</w:t>
      </w:r>
      <w:r w:rsidDel="00000000" w:rsidR="00000000" w:rsidRPr="00000000">
        <w:rPr>
          <w:rtl w:val="0"/>
        </w:rPr>
      </w:r>
    </w:p>
    <w:p w:rsidR="00000000" w:rsidDel="00000000" w:rsidP="00000000" w:rsidRDefault="00000000" w:rsidRPr="00000000" w14:paraId="000000F7">
      <w:pPr>
        <w:tabs>
          <w:tab w:val="left" w:leader="none" w:pos="709"/>
        </w:tabs>
        <w:spacing w:line="240" w:lineRule="auto"/>
        <w:ind w:left="0" w:hanging="2"/>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F8">
      <w:pPr>
        <w:numPr>
          <w:ilvl w:val="2"/>
          <w:numId w:val="8"/>
        </w:numPr>
        <w:tabs>
          <w:tab w:val="left" w:leader="none" w:pos="709"/>
        </w:tabs>
        <w:spacing w:line="240" w:lineRule="auto"/>
        <w:ind w:left="0" w:hanging="2"/>
        <w:jc w:val="left"/>
        <w:rPr>
          <w:rFonts w:ascii="Calibri" w:cs="Calibri" w:eastAsia="Calibri" w:hAnsi="Calibri"/>
          <w:color w:val="000000"/>
        </w:rPr>
      </w:pPr>
      <w:bookmarkStart w:colFirst="0" w:colLast="0" w:name="_1ksv4uv" w:id="15"/>
      <w:bookmarkEnd w:id="15"/>
      <w:r w:rsidDel="00000000" w:rsidR="00000000" w:rsidRPr="00000000">
        <w:rPr>
          <w:rFonts w:ascii="Calibri" w:cs="Calibri" w:eastAsia="Calibri" w:hAnsi="Calibri"/>
          <w:color w:val="000000"/>
          <w:sz w:val="22"/>
          <w:szCs w:val="22"/>
          <w:rtl w:val="0"/>
        </w:rPr>
        <w:t xml:space="preserve">The Supplier will be expected to work according to the Technology Code of Practice; the GDS Service Manual; any operating standards required by the Buyer. </w:t>
      </w:r>
      <w:r w:rsidDel="00000000" w:rsidR="00000000" w:rsidRPr="00000000">
        <w:rPr>
          <w:rtl w:val="0"/>
        </w:rPr>
      </w:r>
    </w:p>
    <w:p w:rsidR="00000000" w:rsidDel="00000000" w:rsidP="00000000" w:rsidRDefault="00000000" w:rsidRPr="00000000" w14:paraId="000000F9">
      <w:pPr>
        <w:tabs>
          <w:tab w:val="left" w:leader="none" w:pos="709"/>
          <w:tab w:val="left" w:leader="none" w:pos="1276"/>
        </w:tabs>
        <w:spacing w:line="240" w:lineRule="auto"/>
        <w:ind w:left="0" w:hanging="2"/>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FA">
      <w:pPr>
        <w:numPr>
          <w:ilvl w:val="2"/>
          <w:numId w:val="8"/>
        </w:numPr>
        <w:tabs>
          <w:tab w:val="left" w:leader="none" w:pos="709"/>
          <w:tab w:val="left" w:leader="none" w:pos="1276"/>
        </w:tabs>
        <w:spacing w:line="240" w:lineRule="auto"/>
        <w:ind w:left="0" w:hanging="2"/>
        <w:jc w:val="left"/>
        <w:rPr>
          <w:rFonts w:ascii="Calibri" w:cs="Calibri" w:eastAsia="Calibri" w:hAnsi="Calibri"/>
          <w:color w:val="000000"/>
        </w:rPr>
      </w:pPr>
      <w:bookmarkStart w:colFirst="0" w:colLast="0" w:name="_44sinio" w:id="16"/>
      <w:bookmarkEnd w:id="16"/>
      <w:r w:rsidDel="00000000" w:rsidR="00000000" w:rsidRPr="00000000">
        <w:rPr>
          <w:rFonts w:ascii="Calibri" w:cs="Calibri" w:eastAsia="Calibri" w:hAnsi="Calibri"/>
          <w:color w:val="000000"/>
          <w:sz w:val="22"/>
          <w:szCs w:val="22"/>
          <w:rtl w:val="0"/>
        </w:rPr>
        <w:t xml:space="preserve">DevOps Services: the scope of configurable products may include, but are not limited to: </w:t>
      </w:r>
      <w:r w:rsidDel="00000000" w:rsidR="00000000" w:rsidRPr="00000000">
        <w:rPr>
          <w:rtl w:val="0"/>
        </w:rPr>
      </w:r>
    </w:p>
    <w:p w:rsidR="00000000" w:rsidDel="00000000" w:rsidP="00000000" w:rsidRDefault="00000000" w:rsidRPr="00000000" w14:paraId="000000FB">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 stable, retained core services team to provide service stability, enhancements, maintenance and operational support to products and platforms; </w:t>
      </w:r>
      <w:r w:rsidDel="00000000" w:rsidR="00000000" w:rsidRPr="00000000">
        <w:rPr>
          <w:rtl w:val="0"/>
        </w:rPr>
      </w:r>
    </w:p>
    <w:p w:rsidR="00000000" w:rsidDel="00000000" w:rsidP="00000000" w:rsidRDefault="00000000" w:rsidRPr="00000000" w14:paraId="000000FC">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Burst capacity where required to deal with major service enhancements or optimisation projects, demand peaks, hyper-care support or significant fault identification and resolution; and</w:t>
      </w:r>
      <w:r w:rsidDel="00000000" w:rsidR="00000000" w:rsidRPr="00000000">
        <w:rPr>
          <w:rtl w:val="0"/>
        </w:rPr>
      </w:r>
    </w:p>
    <w:p w:rsidR="00000000" w:rsidDel="00000000" w:rsidP="00000000" w:rsidRDefault="00000000" w:rsidRPr="00000000" w14:paraId="000000FD">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Right-size deployment between run operations, routine maintenance, and significant enhancements.</w:t>
      </w:r>
      <w:r w:rsidDel="00000000" w:rsidR="00000000" w:rsidRPr="00000000">
        <w:rPr>
          <w:rtl w:val="0"/>
        </w:rPr>
      </w:r>
    </w:p>
    <w:p w:rsidR="00000000" w:rsidDel="00000000" w:rsidP="00000000" w:rsidRDefault="00000000" w:rsidRPr="00000000" w14:paraId="000000FE">
      <w:pPr>
        <w:tabs>
          <w:tab w:val="left" w:leader="none" w:pos="709"/>
        </w:tabs>
        <w:spacing w:line="240" w:lineRule="auto"/>
        <w:ind w:left="0" w:hanging="2"/>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FF">
      <w:pPr>
        <w:numPr>
          <w:ilvl w:val="2"/>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 The scope of configurable products may include, but is not limited to:</w:t>
      </w:r>
      <w:r w:rsidDel="00000000" w:rsidR="00000000" w:rsidRPr="00000000">
        <w:rPr>
          <w:rtl w:val="0"/>
        </w:rPr>
      </w:r>
    </w:p>
    <w:p w:rsidR="00000000" w:rsidDel="00000000" w:rsidP="00000000" w:rsidRDefault="00000000" w:rsidRPr="00000000" w14:paraId="00000100">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Software licensing validation and or preferential purchasing services;</w:t>
      </w:r>
      <w:r w:rsidDel="00000000" w:rsidR="00000000" w:rsidRPr="00000000">
        <w:rPr>
          <w:rtl w:val="0"/>
        </w:rPr>
      </w:r>
    </w:p>
    <w:p w:rsidR="00000000" w:rsidDel="00000000" w:rsidP="00000000" w:rsidRDefault="00000000" w:rsidRPr="00000000" w14:paraId="00000101">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Web hosting services where required, including PPE/sandpit environments;</w:t>
      </w:r>
      <w:r w:rsidDel="00000000" w:rsidR="00000000" w:rsidRPr="00000000">
        <w:rPr>
          <w:rtl w:val="0"/>
        </w:rPr>
      </w:r>
    </w:p>
    <w:p w:rsidR="00000000" w:rsidDel="00000000" w:rsidP="00000000" w:rsidRDefault="00000000" w:rsidRPr="00000000" w14:paraId="00000102">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Configurable platform and product maintenance, support, enhancement, and release management services including artificial intelligence and automation products; and</w:t>
      </w:r>
      <w:r w:rsidDel="00000000" w:rsidR="00000000" w:rsidRPr="00000000">
        <w:rPr>
          <w:rtl w:val="0"/>
        </w:rPr>
      </w:r>
    </w:p>
    <w:p w:rsidR="00000000" w:rsidDel="00000000" w:rsidP="00000000" w:rsidRDefault="00000000" w:rsidRPr="00000000" w14:paraId="00000103">
      <w:pPr>
        <w:numPr>
          <w:ilvl w:val="3"/>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Data extraction, translation, transfer, conversion and backup, recovery and disposal within target technologies or dependent products.</w:t>
      </w:r>
      <w:r w:rsidDel="00000000" w:rsidR="00000000" w:rsidRPr="00000000">
        <w:rPr>
          <w:rtl w:val="0"/>
        </w:rPr>
      </w:r>
    </w:p>
    <w:p w:rsidR="00000000" w:rsidDel="00000000" w:rsidP="00000000" w:rsidRDefault="00000000" w:rsidRPr="00000000" w14:paraId="00000104">
      <w:pPr>
        <w:tabs>
          <w:tab w:val="left" w:leader="none" w:pos="709"/>
        </w:tabs>
        <w:spacing w:line="240" w:lineRule="auto"/>
        <w:ind w:left="0" w:hanging="2"/>
        <w:jc w:val="left"/>
        <w:rPr>
          <w:rFonts w:ascii="Calibri" w:cs="Calibri" w:eastAsia="Calibri" w:hAnsi="Calibri"/>
          <w:color w:val="000000"/>
          <w:sz w:val="22"/>
          <w:szCs w:val="22"/>
        </w:rPr>
      </w:pPr>
      <w:bookmarkStart w:colFirst="0" w:colLast="0" w:name="_2jxsxqh" w:id="17"/>
      <w:bookmarkEnd w:id="17"/>
      <w:r w:rsidDel="00000000" w:rsidR="00000000" w:rsidRPr="00000000">
        <w:rPr>
          <w:rtl w:val="0"/>
        </w:rPr>
      </w:r>
    </w:p>
    <w:p w:rsidR="00000000" w:rsidDel="00000000" w:rsidP="00000000" w:rsidRDefault="00000000" w:rsidRPr="00000000" w14:paraId="00000105">
      <w:pPr>
        <w:numPr>
          <w:ilvl w:val="2"/>
          <w:numId w:val="8"/>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Early Design/Delivery Services (discovery and Alpha)</w:t>
      </w:r>
      <w:r w:rsidDel="00000000" w:rsidR="00000000" w:rsidRPr="00000000">
        <w:rPr>
          <w:rtl w:val="0"/>
        </w:rPr>
      </w:r>
    </w:p>
    <w:p w:rsidR="00000000" w:rsidDel="00000000" w:rsidP="00000000" w:rsidRDefault="00000000" w:rsidRPr="00000000" w14:paraId="00000106">
      <w:pPr>
        <w:numPr>
          <w:ilvl w:val="3"/>
          <w:numId w:val="8"/>
        </w:numPr>
        <w:tabs>
          <w:tab w:val="left" w:leader="none" w:pos="709"/>
          <w:tab w:val="left" w:leader="none" w:pos="1276"/>
        </w:tabs>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Discovery or extended discovery and separately for the Alpha; support the entirety of the early design/delivery phase.</w:t>
      </w:r>
      <w:r w:rsidDel="00000000" w:rsidR="00000000" w:rsidRPr="00000000">
        <w:rPr>
          <w:rtl w:val="0"/>
        </w:rPr>
      </w:r>
    </w:p>
    <w:p w:rsidR="00000000" w:rsidDel="00000000" w:rsidP="00000000" w:rsidRDefault="00000000" w:rsidRPr="00000000" w14:paraId="00000107">
      <w:pPr>
        <w:numPr>
          <w:ilvl w:val="3"/>
          <w:numId w:val="8"/>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Knowledge transfer activities to facilitate handover if there is a different Supplier for the build phase. </w:t>
      </w:r>
      <w:r w:rsidDel="00000000" w:rsidR="00000000" w:rsidRPr="00000000">
        <w:rPr>
          <w:rtl w:val="0"/>
        </w:rPr>
      </w:r>
    </w:p>
    <w:p w:rsidR="00000000" w:rsidDel="00000000" w:rsidP="00000000" w:rsidRDefault="00000000" w:rsidRPr="00000000" w14:paraId="00000108">
      <w:pPr>
        <w:tabs>
          <w:tab w:val="left" w:leader="none" w:pos="709"/>
          <w:tab w:val="left" w:leader="none" w:pos="1276"/>
        </w:tabs>
        <w:spacing w:line="240" w:lineRule="auto"/>
        <w:ind w:left="0" w:hanging="2"/>
        <w:jc w:val="left"/>
        <w:rPr>
          <w:rFonts w:ascii="Calibri" w:cs="Calibri" w:eastAsia="Calibri" w:hAnsi="Calibri"/>
          <w:color w:val="000000"/>
          <w:sz w:val="22"/>
          <w:szCs w:val="22"/>
        </w:rPr>
      </w:pPr>
      <w:bookmarkStart w:colFirst="0" w:colLast="0" w:name="_z337ya" w:id="18"/>
      <w:bookmarkEnd w:id="18"/>
      <w:r w:rsidDel="00000000" w:rsidR="00000000" w:rsidRPr="00000000">
        <w:rPr>
          <w:rtl w:val="0"/>
        </w:rPr>
      </w:r>
    </w:p>
    <w:p w:rsidR="00000000" w:rsidDel="00000000" w:rsidP="00000000" w:rsidRDefault="00000000" w:rsidRPr="00000000" w14:paraId="00000109">
      <w:pPr>
        <w:numPr>
          <w:ilvl w:val="2"/>
          <w:numId w:val="8"/>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Build and Transition Services</w:t>
      </w:r>
      <w:r w:rsidDel="00000000" w:rsidR="00000000" w:rsidRPr="00000000">
        <w:rPr>
          <w:rtl w:val="0"/>
        </w:rPr>
      </w:r>
    </w:p>
    <w:p w:rsidR="00000000" w:rsidDel="00000000" w:rsidP="00000000" w:rsidRDefault="00000000" w:rsidRPr="00000000" w14:paraId="0000010A">
      <w:pPr>
        <w:numPr>
          <w:ilvl w:val="3"/>
          <w:numId w:val="8"/>
        </w:numPr>
        <w:tabs>
          <w:tab w:val="left" w:leader="none" w:pos="709"/>
          <w:tab w:val="left" w:leader="none" w:pos="1276"/>
        </w:tabs>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Creation of the private Beta through to service retirement (if it is not approved for transition) or transition into Live. </w:t>
      </w:r>
      <w:r w:rsidDel="00000000" w:rsidR="00000000" w:rsidRPr="00000000">
        <w:rPr>
          <w:rtl w:val="0"/>
        </w:rPr>
      </w:r>
    </w:p>
    <w:p w:rsidR="00000000" w:rsidDel="00000000" w:rsidP="00000000" w:rsidRDefault="00000000" w:rsidRPr="00000000" w14:paraId="0000010B">
      <w:pPr>
        <w:numPr>
          <w:ilvl w:val="3"/>
          <w:numId w:val="8"/>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Ongoing discovery to support agility and enable delivery of emerging requirements.</w:t>
      </w:r>
      <w:r w:rsidDel="00000000" w:rsidR="00000000" w:rsidRPr="00000000">
        <w:rPr>
          <w:rtl w:val="0"/>
        </w:rPr>
      </w:r>
    </w:p>
    <w:p w:rsidR="00000000" w:rsidDel="00000000" w:rsidP="00000000" w:rsidRDefault="00000000" w:rsidRPr="00000000" w14:paraId="0000010C">
      <w:pPr>
        <w:tabs>
          <w:tab w:val="left" w:leader="none" w:pos="709"/>
          <w:tab w:val="left" w:leader="none" w:pos="1276"/>
        </w:tabs>
        <w:spacing w:line="240" w:lineRule="auto"/>
        <w:ind w:left="0" w:hanging="2"/>
        <w:jc w:val="left"/>
        <w:rPr>
          <w:rFonts w:ascii="Calibri" w:cs="Calibri" w:eastAsia="Calibri" w:hAnsi="Calibri"/>
          <w:color w:val="000000"/>
          <w:sz w:val="22"/>
          <w:szCs w:val="22"/>
        </w:rPr>
      </w:pPr>
      <w:bookmarkStart w:colFirst="0" w:colLast="0" w:name="_3j2qqm3" w:id="19"/>
      <w:bookmarkEnd w:id="19"/>
      <w:r w:rsidDel="00000000" w:rsidR="00000000" w:rsidRPr="00000000">
        <w:rPr>
          <w:rtl w:val="0"/>
        </w:rPr>
      </w:r>
    </w:p>
    <w:p w:rsidR="00000000" w:rsidDel="00000000" w:rsidP="00000000" w:rsidRDefault="00000000" w:rsidRPr="00000000" w14:paraId="0000010D">
      <w:pPr>
        <w:numPr>
          <w:ilvl w:val="2"/>
          <w:numId w:val="8"/>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End-to-End Development Services</w:t>
      </w:r>
      <w:r w:rsidDel="00000000" w:rsidR="00000000" w:rsidRPr="00000000">
        <w:rPr>
          <w:rtl w:val="0"/>
        </w:rPr>
      </w:r>
    </w:p>
    <w:p w:rsidR="00000000" w:rsidDel="00000000" w:rsidP="00000000" w:rsidRDefault="00000000" w:rsidRPr="00000000" w14:paraId="0000010E">
      <w:pPr>
        <w:numPr>
          <w:ilvl w:val="3"/>
          <w:numId w:val="8"/>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End-to-end development services, from discovery through to transition to Live, potentially also including ongoing service run and decommissioning of predecessor systems or services, where the programme/ project size is such that the value for money benefits of combining early design and delivery services. </w:t>
      </w:r>
      <w:r w:rsidDel="00000000" w:rsidR="00000000" w:rsidRPr="00000000">
        <w:rPr>
          <w:rtl w:val="0"/>
        </w:rPr>
      </w:r>
    </w:p>
    <w:p w:rsidR="00000000" w:rsidDel="00000000" w:rsidP="00000000" w:rsidRDefault="00000000" w:rsidRPr="00000000" w14:paraId="0000010F">
      <w:pPr>
        <w:tabs>
          <w:tab w:val="left" w:leader="none" w:pos="709"/>
          <w:tab w:val="left" w:leader="none" w:pos="1276"/>
        </w:tabs>
        <w:spacing w:line="240" w:lineRule="auto"/>
        <w:ind w:left="0" w:hanging="2"/>
        <w:jc w:val="left"/>
        <w:rPr>
          <w:rFonts w:ascii="Calibri" w:cs="Calibri" w:eastAsia="Calibri" w:hAnsi="Calibri"/>
          <w:color w:val="000000"/>
          <w:sz w:val="22"/>
          <w:szCs w:val="22"/>
        </w:rPr>
      </w:pPr>
      <w:bookmarkStart w:colFirst="0" w:colLast="0" w:name="_1y810tw" w:id="20"/>
      <w:bookmarkEnd w:id="20"/>
      <w:r w:rsidDel="00000000" w:rsidR="00000000" w:rsidRPr="00000000">
        <w:rPr>
          <w:rtl w:val="0"/>
        </w:rPr>
      </w:r>
    </w:p>
    <w:p w:rsidR="00000000" w:rsidDel="00000000" w:rsidP="00000000" w:rsidRDefault="00000000" w:rsidRPr="00000000" w14:paraId="00000110">
      <w:pPr>
        <w:numPr>
          <w:ilvl w:val="2"/>
          <w:numId w:val="8"/>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Data and Business Information Management Services</w:t>
      </w:r>
      <w:r w:rsidDel="00000000" w:rsidR="00000000" w:rsidRPr="00000000">
        <w:rPr>
          <w:rtl w:val="0"/>
        </w:rPr>
      </w:r>
    </w:p>
    <w:p w:rsidR="00000000" w:rsidDel="00000000" w:rsidP="00000000" w:rsidRDefault="00000000" w:rsidRPr="00000000" w14:paraId="00000111">
      <w:pPr>
        <w:numPr>
          <w:ilvl w:val="3"/>
          <w:numId w:val="8"/>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Data and business information management services include digital skills, which do not automatically fit into the previously defined delivery phases. These services include: </w:t>
      </w:r>
      <w:r w:rsidDel="00000000" w:rsidR="00000000" w:rsidRPr="00000000">
        <w:rPr>
          <w:rtl w:val="0"/>
        </w:rPr>
      </w:r>
    </w:p>
    <w:p w:rsidR="00000000" w:rsidDel="00000000" w:rsidP="00000000" w:rsidRDefault="00000000" w:rsidRPr="00000000" w14:paraId="00000112">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Phased migration of data set logic from one product or platform to another; </w:t>
      </w:r>
      <w:r w:rsidDel="00000000" w:rsidR="00000000" w:rsidRPr="00000000">
        <w:rPr>
          <w:rtl w:val="0"/>
        </w:rPr>
      </w:r>
    </w:p>
    <w:p w:rsidR="00000000" w:rsidDel="00000000" w:rsidP="00000000" w:rsidRDefault="00000000" w:rsidRPr="00000000" w14:paraId="00000113">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Reconfiguration of data sets to align with emerging standards;</w:t>
      </w:r>
      <w:r w:rsidDel="00000000" w:rsidR="00000000" w:rsidRPr="00000000">
        <w:rPr>
          <w:rtl w:val="0"/>
        </w:rPr>
      </w:r>
    </w:p>
    <w:p w:rsidR="00000000" w:rsidDel="00000000" w:rsidP="00000000" w:rsidRDefault="00000000" w:rsidRPr="00000000" w14:paraId="00000114">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Developing discrete presentation views of datasets using web-based technologies; </w:t>
      </w:r>
      <w:r w:rsidDel="00000000" w:rsidR="00000000" w:rsidRPr="00000000">
        <w:rPr>
          <w:rtl w:val="0"/>
        </w:rPr>
      </w:r>
    </w:p>
    <w:p w:rsidR="00000000" w:rsidDel="00000000" w:rsidP="00000000" w:rsidRDefault="00000000" w:rsidRPr="00000000" w14:paraId="00000115">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Creating data visualisations that combine and link data not previously linked;</w:t>
      </w:r>
      <w:r w:rsidDel="00000000" w:rsidR="00000000" w:rsidRPr="00000000">
        <w:rPr>
          <w:rtl w:val="0"/>
        </w:rPr>
      </w:r>
    </w:p>
    <w:p w:rsidR="00000000" w:rsidDel="00000000" w:rsidP="00000000" w:rsidRDefault="00000000" w:rsidRPr="00000000" w14:paraId="00000116">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Creating complex digital dashboards;</w:t>
      </w:r>
      <w:r w:rsidDel="00000000" w:rsidR="00000000" w:rsidRPr="00000000">
        <w:rPr>
          <w:rtl w:val="0"/>
        </w:rPr>
      </w:r>
    </w:p>
    <w:p w:rsidR="00000000" w:rsidDel="00000000" w:rsidP="00000000" w:rsidRDefault="00000000" w:rsidRPr="00000000" w14:paraId="00000117">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Performing data analytics to inform decision-making; </w:t>
      </w:r>
      <w:r w:rsidDel="00000000" w:rsidR="00000000" w:rsidRPr="00000000">
        <w:rPr>
          <w:rtl w:val="0"/>
        </w:rPr>
      </w:r>
    </w:p>
    <w:p w:rsidR="00000000" w:rsidDel="00000000" w:rsidP="00000000" w:rsidRDefault="00000000" w:rsidRPr="00000000" w14:paraId="00000118">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Adding machine learning and artificial intelligence to existing solutions; and</w:t>
      </w:r>
      <w:r w:rsidDel="00000000" w:rsidR="00000000" w:rsidRPr="00000000">
        <w:rPr>
          <w:rtl w:val="0"/>
        </w:rPr>
      </w:r>
    </w:p>
    <w:p w:rsidR="00000000" w:rsidDel="00000000" w:rsidP="00000000" w:rsidRDefault="00000000" w:rsidRPr="00000000" w14:paraId="00000119">
      <w:pPr>
        <w:numPr>
          <w:ilvl w:val="4"/>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Filtering and compiling data to target specific audiences.</w:t>
      </w:r>
      <w:r w:rsidDel="00000000" w:rsidR="00000000" w:rsidRPr="00000000">
        <w:rPr>
          <w:rtl w:val="0"/>
        </w:rPr>
      </w:r>
    </w:p>
    <w:p w:rsidR="00000000" w:rsidDel="00000000" w:rsidP="00000000" w:rsidRDefault="00000000" w:rsidRPr="00000000" w14:paraId="0000011A">
      <w:pPr>
        <w:tabs>
          <w:tab w:val="left" w:leader="none" w:pos="709"/>
        </w:tabs>
        <w:spacing w:line="240" w:lineRule="auto"/>
        <w:ind w:left="0" w:hanging="2"/>
        <w:jc w:val="left"/>
        <w:rPr>
          <w:rFonts w:ascii="Calibri" w:cs="Calibri" w:eastAsia="Calibri" w:hAnsi="Calibri"/>
          <w:color w:val="000000"/>
          <w:sz w:val="22"/>
          <w:szCs w:val="22"/>
        </w:rPr>
      </w:pPr>
      <w:bookmarkStart w:colFirst="0" w:colLast="0" w:name="_4i7ojhp" w:id="21"/>
      <w:bookmarkEnd w:id="21"/>
      <w:r w:rsidDel="00000000" w:rsidR="00000000" w:rsidRPr="00000000">
        <w:rPr>
          <w:rtl w:val="0"/>
        </w:rPr>
      </w:r>
    </w:p>
    <w:p w:rsidR="00000000" w:rsidDel="00000000" w:rsidP="00000000" w:rsidRDefault="00000000" w:rsidRPr="00000000" w14:paraId="0000011B">
      <w:pPr>
        <w:numPr>
          <w:ilvl w:val="2"/>
          <w:numId w:val="8"/>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Knowledge Transfer and Skills Development </w:t>
      </w:r>
      <w:r w:rsidDel="00000000" w:rsidR="00000000" w:rsidRPr="00000000">
        <w:rPr>
          <w:rtl w:val="0"/>
        </w:rPr>
      </w:r>
    </w:p>
    <w:p w:rsidR="00000000" w:rsidDel="00000000" w:rsidP="00000000" w:rsidRDefault="00000000" w:rsidRPr="00000000" w14:paraId="0000011C">
      <w:pPr>
        <w:numPr>
          <w:ilvl w:val="3"/>
          <w:numId w:val="8"/>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Commission specific knowledge transfer and skills development services from Lot Suppliers to enable it to enhance Intelligent Client capability, covering the ability to exercise oversight, planning, design, delivery and validation of the configuration services delivered. </w:t>
      </w:r>
      <w:r w:rsidDel="00000000" w:rsidR="00000000" w:rsidRPr="00000000">
        <w:rPr>
          <w:rtl w:val="0"/>
        </w:rPr>
      </w:r>
    </w:p>
    <w:p w:rsidR="00000000" w:rsidDel="00000000" w:rsidP="00000000" w:rsidRDefault="00000000" w:rsidRPr="00000000" w14:paraId="0000011D">
      <w:pPr>
        <w:numPr>
          <w:ilvl w:val="3"/>
          <w:numId w:val="8"/>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Such knowledge transfer and skills development services may include, but are not limited to: </w:t>
      </w:r>
      <w:r w:rsidDel="00000000" w:rsidR="00000000" w:rsidRPr="00000000">
        <w:rPr>
          <w:rtl w:val="0"/>
        </w:rPr>
      </w:r>
    </w:p>
    <w:p w:rsidR="00000000" w:rsidDel="00000000" w:rsidP="00000000" w:rsidRDefault="00000000" w:rsidRPr="00000000" w14:paraId="0000011E">
      <w:pPr>
        <w:numPr>
          <w:ilvl w:val="5"/>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Provision of manuals, operating instructions, guidance notes and training packs relevant to elements of the service delivery;</w:t>
      </w:r>
      <w:r w:rsidDel="00000000" w:rsidR="00000000" w:rsidRPr="00000000">
        <w:rPr>
          <w:rtl w:val="0"/>
        </w:rPr>
      </w:r>
    </w:p>
    <w:p w:rsidR="00000000" w:rsidDel="00000000" w:rsidP="00000000" w:rsidRDefault="00000000" w:rsidRPr="00000000" w14:paraId="0000011F">
      <w:pPr>
        <w:numPr>
          <w:ilvl w:val="5"/>
          <w:numId w:val="8"/>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An obligation to permit job-shadowing by the Buyer’s staff or representatives; and</w:t>
      </w:r>
      <w:r w:rsidDel="00000000" w:rsidR="00000000" w:rsidRPr="00000000">
        <w:rPr>
          <w:rtl w:val="0"/>
        </w:rPr>
      </w:r>
    </w:p>
    <w:p w:rsidR="00000000" w:rsidDel="00000000" w:rsidP="00000000" w:rsidRDefault="00000000" w:rsidRPr="00000000" w14:paraId="00000120">
      <w:pPr>
        <w:numPr>
          <w:ilvl w:val="5"/>
          <w:numId w:val="8"/>
        </w:numPr>
        <w:tabs>
          <w:tab w:val="left" w:leader="none" w:pos="709"/>
        </w:tabs>
        <w:spacing w:after="200"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Provision of focused training specific to policies, processes, methodologies, software, and tooling used in delivery of the Services to the Buyer.  </w:t>
      </w:r>
      <w:r w:rsidDel="00000000" w:rsidR="00000000" w:rsidRPr="00000000">
        <w:rPr>
          <w:rtl w:val="0"/>
        </w:rPr>
      </w:r>
    </w:p>
    <w:p w:rsidR="00000000" w:rsidDel="00000000" w:rsidP="00000000" w:rsidRDefault="00000000" w:rsidRPr="00000000" w14:paraId="00000121">
      <w:pPr>
        <w:numPr>
          <w:ilvl w:val="2"/>
          <w:numId w:val="8"/>
        </w:numPr>
        <w:tabs>
          <w:tab w:val="left" w:leader="none" w:pos="709"/>
          <w:tab w:val="left" w:leader="none" w:pos="1276"/>
        </w:tabs>
        <w:spacing w:after="200"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Call-Off Contract Procedure</w:t>
      </w:r>
      <w:r w:rsidDel="00000000" w:rsidR="00000000" w:rsidRPr="00000000">
        <w:rPr>
          <w:rtl w:val="0"/>
        </w:rPr>
      </w:r>
    </w:p>
    <w:p w:rsidR="00000000" w:rsidDel="00000000" w:rsidP="00000000" w:rsidRDefault="00000000" w:rsidRPr="00000000" w14:paraId="00000122">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tabs>
          <w:tab w:val="left" w:leader="none" w:pos="709"/>
          <w:tab w:val="left" w:leader="none" w:pos="1276"/>
        </w:tabs>
        <w:spacing w:after="200" w:before="0" w:line="240" w:lineRule="auto"/>
        <w:ind w:left="720" w:right="0" w:hanging="720"/>
        <w:jc w:val="left"/>
        <w:rPr>
          <w:rFonts w:ascii="Calibri" w:cs="Calibri" w:eastAsia="Calibri" w:hAnsi="Calibri"/>
          <w:b w:val="0"/>
          <w:i w:val="0"/>
          <w:smallCaps w:val="0"/>
          <w:strike w:val="0"/>
          <w:color w:val="000000"/>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Award available via Further Competition Procedure or direct award.</w:t>
      </w:r>
      <w:r w:rsidDel="00000000" w:rsidR="00000000" w:rsidRPr="00000000">
        <w:rPr>
          <w:rtl w:val="0"/>
        </w:rPr>
      </w:r>
    </w:p>
    <w:p w:rsidR="00000000" w:rsidDel="00000000" w:rsidP="00000000" w:rsidRDefault="00000000" w:rsidRPr="00000000" w14:paraId="00000123">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tabs>
          <w:tab w:val="left" w:leader="none" w:pos="709"/>
          <w:tab w:val="left" w:leader="none" w:pos="1276"/>
        </w:tabs>
        <w:spacing w:after="200" w:before="0" w:line="240" w:lineRule="auto"/>
        <w:ind w:left="720" w:right="0" w:hanging="720"/>
        <w:jc w:val="left"/>
        <w:rPr>
          <w:rFonts w:ascii="Calibri" w:cs="Calibri" w:eastAsia="Calibri" w:hAnsi="Calibri"/>
          <w:b w:val="0"/>
          <w:i w:val="0"/>
          <w:smallCaps w:val="0"/>
          <w:strike w:val="0"/>
          <w:color w:val="000000"/>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maximum Call-Off Contract periods, including the initial term and any extensions, shall be 60 Months (5 calendar years). </w:t>
      </w:r>
      <w:r w:rsidDel="00000000" w:rsidR="00000000" w:rsidRPr="00000000">
        <w:rPr>
          <w:rtl w:val="0"/>
        </w:rPr>
      </w:r>
    </w:p>
    <w:p w:rsidR="00000000" w:rsidDel="00000000" w:rsidP="00000000" w:rsidRDefault="00000000" w:rsidRPr="00000000" w14:paraId="00000124">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tabs>
          <w:tab w:val="left" w:leader="none" w:pos="709"/>
          <w:tab w:val="left" w:leader="none" w:pos="1276"/>
        </w:tabs>
        <w:spacing w:after="200" w:before="0" w:line="240" w:lineRule="auto"/>
        <w:ind w:left="720" w:right="0" w:hanging="720"/>
        <w:jc w:val="left"/>
        <w:rPr>
          <w:rFonts w:ascii="Calibri" w:cs="Calibri" w:eastAsia="Calibri" w:hAnsi="Calibri"/>
          <w:b w:val="0"/>
          <w:i w:val="0"/>
          <w:smallCaps w:val="0"/>
          <w:strike w:val="0"/>
          <w:color w:val="000000"/>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There are two tiers for the minimum Call-Off Contract values for a Lot 4a contract: </w:t>
      </w:r>
    </w:p>
    <w:p w:rsidR="00000000" w:rsidDel="00000000" w:rsidP="00000000" w:rsidRDefault="00000000" w:rsidRPr="00000000" w14:paraId="00000125">
      <w:pPr>
        <w:keepNext w:val="0"/>
        <w:keepLines w:val="0"/>
        <w:pageBreakBefore w:val="0"/>
        <w:widowControl w:val="1"/>
        <w:numPr>
          <w:ilvl w:val="4"/>
          <w:numId w:val="11"/>
        </w:numPr>
        <w:pBdr>
          <w:top w:space="0" w:sz="0" w:val="nil"/>
          <w:left w:space="0" w:sz="0" w:val="nil"/>
          <w:bottom w:space="0" w:sz="0" w:val="nil"/>
          <w:right w:space="0" w:sz="0" w:val="nil"/>
          <w:between w:space="0" w:sz="0" w:val="nil"/>
        </w:pBdr>
        <w:shd w:fill="auto" w:val="clear"/>
        <w:tabs>
          <w:tab w:val="left" w:leader="none" w:pos="709"/>
          <w:tab w:val="left" w:leader="none" w:pos="1276"/>
        </w:tabs>
        <w:spacing w:after="200" w:before="0" w:line="240" w:lineRule="auto"/>
        <w:ind w:left="720" w:right="0" w:hanging="720"/>
        <w:jc w:val="left"/>
        <w:rPr>
          <w:rFonts w:ascii="Calibri" w:cs="Calibri" w:eastAsia="Calibri" w:hAnsi="Calibri"/>
          <w:b w:val="0"/>
          <w:i w:val="0"/>
          <w:smallCaps w:val="0"/>
          <w:strike w:val="0"/>
          <w:color w:val="000000"/>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minimum Call-Off Contract value for single-phase delivery work is £500,000. </w:t>
      </w:r>
      <w:r w:rsidDel="00000000" w:rsidR="00000000" w:rsidRPr="00000000">
        <w:rPr>
          <w:rtl w:val="0"/>
        </w:rPr>
      </w:r>
    </w:p>
    <w:p w:rsidR="00000000" w:rsidDel="00000000" w:rsidP="00000000" w:rsidRDefault="00000000" w:rsidRPr="00000000" w14:paraId="00000126">
      <w:pPr>
        <w:keepNext w:val="0"/>
        <w:keepLines w:val="0"/>
        <w:pageBreakBefore w:val="0"/>
        <w:widowControl w:val="1"/>
        <w:numPr>
          <w:ilvl w:val="4"/>
          <w:numId w:val="11"/>
        </w:numPr>
        <w:pBdr>
          <w:top w:space="0" w:sz="0" w:val="nil"/>
          <w:left w:space="0" w:sz="0" w:val="nil"/>
          <w:bottom w:space="0" w:sz="0" w:val="nil"/>
          <w:right w:space="0" w:sz="0" w:val="nil"/>
          <w:between w:space="0" w:sz="0" w:val="nil"/>
        </w:pBdr>
        <w:shd w:fill="auto" w:val="clear"/>
        <w:tabs>
          <w:tab w:val="left" w:leader="none" w:pos="709"/>
          <w:tab w:val="left" w:leader="none" w:pos="1276"/>
        </w:tabs>
        <w:spacing w:after="200" w:before="0" w:line="240" w:lineRule="auto"/>
        <w:ind w:left="720" w:right="0" w:hanging="720"/>
        <w:jc w:val="left"/>
        <w:rPr>
          <w:rFonts w:ascii="Calibri" w:cs="Calibri" w:eastAsia="Calibri" w:hAnsi="Calibri"/>
          <w:b w:val="0"/>
          <w:i w:val="0"/>
          <w:smallCaps w:val="0"/>
          <w:strike w:val="0"/>
          <w:color w:val="000000"/>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minimum Call-Off Contract value for a multi-phase project delivery is £3,000,000.</w:t>
      </w:r>
      <w:r w:rsidDel="00000000" w:rsidR="00000000" w:rsidRPr="00000000">
        <w:rPr>
          <w:rtl w:val="0"/>
        </w:rPr>
      </w:r>
    </w:p>
    <w:p w:rsidR="00000000" w:rsidDel="00000000" w:rsidP="00000000" w:rsidRDefault="00000000" w:rsidRPr="00000000" w14:paraId="00000127">
      <w:pPr>
        <w:tabs>
          <w:tab w:val="left" w:leader="none" w:pos="709"/>
          <w:tab w:val="left" w:leader="none" w:pos="1276"/>
        </w:tabs>
        <w:spacing w:line="240" w:lineRule="auto"/>
        <w:ind w:left="0" w:hanging="2"/>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28">
      <w:pPr>
        <w:tabs>
          <w:tab w:val="left" w:leader="none" w:pos="709"/>
          <w:tab w:val="left" w:leader="none" w:pos="1276"/>
        </w:tabs>
        <w:spacing w:line="240" w:lineRule="auto"/>
        <w:ind w:left="0" w:hanging="2"/>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29">
      <w:pPr>
        <w:numPr>
          <w:ilvl w:val="1"/>
          <w:numId w:val="8"/>
        </w:numPr>
        <w:tabs>
          <w:tab w:val="left" w:leader="none" w:pos="709"/>
          <w:tab w:val="left" w:leader="none" w:pos="1276"/>
        </w:tabs>
        <w:spacing w:line="240" w:lineRule="auto"/>
        <w:ind w:left="0" w:hanging="2"/>
        <w:jc w:val="left"/>
        <w:rPr>
          <w:color w:val="000000"/>
        </w:rPr>
      </w:pPr>
      <w:r w:rsidDel="00000000" w:rsidR="00000000" w:rsidRPr="00000000">
        <w:rPr>
          <w:rFonts w:ascii="Calibri" w:cs="Calibri" w:eastAsia="Calibri" w:hAnsi="Calibri"/>
          <w:b w:val="1"/>
          <w:color w:val="000000"/>
          <w:sz w:val="22"/>
          <w:szCs w:val="22"/>
          <w:rtl w:val="0"/>
        </w:rPr>
        <w:t xml:space="preserve">Service Provision 1 Lot 4b: Specialist Product Configuration Services </w:t>
      </w:r>
      <w:r w:rsidDel="00000000" w:rsidR="00000000" w:rsidRPr="00000000">
        <w:rPr>
          <w:rtl w:val="0"/>
        </w:rPr>
      </w:r>
    </w:p>
    <w:p w:rsidR="00000000" w:rsidDel="00000000" w:rsidP="00000000" w:rsidRDefault="00000000" w:rsidRPr="00000000" w14:paraId="0000012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tabs>
          <w:tab w:val="left" w:leader="none" w:pos="709"/>
          <w:tab w:val="left" w:leader="none" w:pos="284"/>
          <w:tab w:val="left" w:leader="none" w:pos="1276"/>
        </w:tabs>
        <w:spacing w:after="0" w:before="0" w:line="240" w:lineRule="auto"/>
        <w:ind w:left="284" w:right="0" w:hanging="710"/>
        <w:jc w:val="left"/>
        <w:rPr>
          <w:rFonts w:ascii="Calibri" w:cs="Calibri" w:eastAsia="Calibri" w:hAnsi="Calibri"/>
          <w:b w:val="0"/>
          <w:i w:val="0"/>
          <w:smallCaps w:val="0"/>
          <w:strike w:val="0"/>
          <w:color w:val="222222"/>
          <w:u w:val="none"/>
          <w:shd w:fill="auto" w:val="clear"/>
          <w:vertAlign w:val="baseline"/>
        </w:rPr>
      </w:pPr>
      <w:r w:rsidDel="00000000" w:rsidR="00000000" w:rsidRPr="00000000">
        <w:rPr>
          <w:rFonts w:ascii="Calibri" w:cs="Calibri" w:eastAsia="Calibri" w:hAnsi="Calibri"/>
          <w:b w:val="0"/>
          <w:i w:val="0"/>
          <w:smallCaps w:val="0"/>
          <w:strike w:val="0"/>
          <w:color w:val="222222"/>
          <w:sz w:val="22"/>
          <w:szCs w:val="22"/>
          <w:u w:val="none"/>
          <w:shd w:fill="auto" w:val="clear"/>
          <w:vertAlign w:val="baseline"/>
          <w:rtl w:val="0"/>
        </w:rPr>
        <w:t xml:space="preserve">The context of Framework Agreement Lots 4a/b are primarily around the design, build and delivery of digital products and services in configurable (including low-code/no-code) software products and platforms, whether as a net new service or transformational of existing systems. In a DevSecOps context buyers will often commission build services with the intent that the same teams, responsible for delivery up to Live/Hypercare, will also run and optimise the services once they have entered into the application maintenance/support/run phase. Commissioning such run services is permissible under Lot 4 as an ancillary to or run-on of application design and build services delivered under Lot 4. </w:t>
      </w:r>
    </w:p>
    <w:p w:rsidR="00000000" w:rsidDel="00000000" w:rsidP="00000000" w:rsidRDefault="00000000" w:rsidRPr="00000000" w14:paraId="0000012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tabs>
          <w:tab w:val="left" w:leader="none" w:pos="709"/>
          <w:tab w:val="left" w:leader="none" w:pos="284"/>
          <w:tab w:val="left" w:leader="none" w:pos="1276"/>
        </w:tabs>
        <w:spacing w:after="0" w:before="0" w:line="240" w:lineRule="auto"/>
        <w:ind w:left="284" w:right="0" w:hanging="710"/>
        <w:jc w:val="left"/>
        <w:rPr>
          <w:rFonts w:ascii="Calibri" w:cs="Calibri" w:eastAsia="Calibri" w:hAnsi="Calibri"/>
          <w:b w:val="0"/>
          <w:i w:val="0"/>
          <w:smallCaps w:val="0"/>
          <w:strike w:val="0"/>
          <w:color w:val="000000"/>
          <w:u w:val="none"/>
          <w:shd w:fill="auto" w:val="clear"/>
          <w:vertAlign w:val="baseline"/>
        </w:rPr>
      </w:pPr>
      <w:r w:rsidDel="00000000" w:rsidR="00000000" w:rsidRPr="00000000">
        <w:rPr>
          <w:rFonts w:ascii="Calibri" w:cs="Calibri" w:eastAsia="Calibri" w:hAnsi="Calibri"/>
          <w:b w:val="0"/>
          <w:i w:val="0"/>
          <w:smallCaps w:val="0"/>
          <w:strike w:val="0"/>
          <w:color w:val="222222"/>
          <w:sz w:val="22"/>
          <w:szCs w:val="22"/>
          <w:u w:val="none"/>
          <w:shd w:fill="auto" w:val="clear"/>
          <w:vertAlign w:val="baseline"/>
          <w:rtl w:val="0"/>
        </w:rPr>
        <w:t xml:space="preserve">Application maintenance/support/run cannot be commissioned solely as a core service under this lot. These services can only be commissioned alongside commissioning of a core delivery service. Core delivery services are described in paragraphs 2.6.3.1, 2.6.3.2, 2.6.3.3, 2.6.3.4, 2.6.3.5, 2.6.3.6 Services that are solely focused on DevOps support for live services as referenced as 2.6.3.1 and ‘run and service optimisation’ referenced at 2.6.3.3 are optional/ancillary services and cannot be commissioned without commissioning  a core delivery  service.</w:t>
      </w:r>
      <w:r w:rsidDel="00000000" w:rsidR="00000000" w:rsidRPr="00000000">
        <w:rPr>
          <w:rtl w:val="0"/>
        </w:rPr>
      </w:r>
    </w:p>
    <w:p w:rsidR="00000000" w:rsidDel="00000000" w:rsidP="00000000" w:rsidRDefault="00000000" w:rsidRPr="00000000" w14:paraId="0000012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tabs>
          <w:tab w:val="left" w:leader="none" w:pos="709"/>
          <w:tab w:val="left" w:leader="none" w:pos="284"/>
          <w:tab w:val="left" w:leader="none" w:pos="1276"/>
        </w:tabs>
        <w:spacing w:after="0" w:before="0" w:line="240" w:lineRule="auto"/>
        <w:ind w:left="284" w:right="0" w:hanging="710"/>
        <w:jc w:val="left"/>
        <w:rPr>
          <w:rFonts w:ascii="Calibri" w:cs="Calibri" w:eastAsia="Calibri" w:hAnsi="Calibri"/>
          <w:b w:val="0"/>
          <w:i w:val="0"/>
          <w:smallCaps w:val="0"/>
          <w:strike w:val="0"/>
          <w:color w:val="000000"/>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requested by the Buyer, Suppliers will provide a range of Services and will deliver specialist product configuration Services to the Buyer. Services may include but are not limited to:</w:t>
      </w:r>
      <w:r w:rsidDel="00000000" w:rsidR="00000000" w:rsidRPr="00000000">
        <w:rPr>
          <w:rtl w:val="0"/>
        </w:rPr>
      </w:r>
    </w:p>
    <w:p w:rsidR="00000000" w:rsidDel="00000000" w:rsidP="00000000" w:rsidRDefault="00000000" w:rsidRPr="00000000" w14:paraId="0000012D">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tabs>
          <w:tab w:val="left" w:leader="none" w:pos="709"/>
          <w:tab w:val="left" w:leader="none" w:pos="284"/>
          <w:tab w:val="left" w:leader="none" w:pos="1276"/>
        </w:tabs>
        <w:spacing w:after="0" w:before="0" w:line="240" w:lineRule="auto"/>
        <w:ind w:left="567" w:right="0" w:hanging="709"/>
        <w:jc w:val="left"/>
        <w:rPr>
          <w:rFonts w:ascii="Calibri" w:cs="Calibri" w:eastAsia="Calibri" w:hAnsi="Calibri"/>
          <w:b w:val="0"/>
          <w:i w:val="0"/>
          <w:smallCaps w:val="0"/>
          <w:strike w:val="0"/>
          <w:color w:val="000000"/>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DevOps Services support for ongoing live services;  </w:t>
      </w:r>
      <w:r w:rsidDel="00000000" w:rsidR="00000000" w:rsidRPr="00000000">
        <w:rPr>
          <w:rtl w:val="0"/>
        </w:rPr>
      </w:r>
    </w:p>
    <w:p w:rsidR="00000000" w:rsidDel="00000000" w:rsidP="00000000" w:rsidRDefault="00000000" w:rsidRPr="00000000" w14:paraId="0000012E">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tabs>
          <w:tab w:val="left" w:leader="none" w:pos="709"/>
          <w:tab w:val="left" w:leader="none" w:pos="284"/>
          <w:tab w:val="left" w:leader="none" w:pos="1276"/>
        </w:tabs>
        <w:spacing w:after="0" w:before="0" w:line="240" w:lineRule="auto"/>
        <w:ind w:left="567" w:right="0" w:hanging="709"/>
        <w:jc w:val="left"/>
        <w:rPr>
          <w:rFonts w:ascii="Calibri" w:cs="Calibri" w:eastAsia="Calibri" w:hAnsi="Calibri"/>
          <w:b w:val="0"/>
          <w:i w:val="0"/>
          <w:smallCaps w:val="0"/>
          <w:strike w:val="0"/>
          <w:color w:val="000000"/>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Digital design/early delivery services. Either separately or combined discovery (as extended under extended discovery under paragraph below) and /or Alpha phases;  </w:t>
      </w:r>
      <w:r w:rsidDel="00000000" w:rsidR="00000000" w:rsidRPr="00000000">
        <w:rPr>
          <w:rtl w:val="0"/>
        </w:rPr>
      </w:r>
    </w:p>
    <w:p w:rsidR="00000000" w:rsidDel="00000000" w:rsidP="00000000" w:rsidRDefault="00000000" w:rsidRPr="00000000" w14:paraId="0000012F">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tabs>
          <w:tab w:val="left" w:leader="none" w:pos="709"/>
          <w:tab w:val="left" w:leader="none" w:pos="284"/>
          <w:tab w:val="left" w:leader="none" w:pos="1276"/>
        </w:tabs>
        <w:spacing w:after="0" w:before="0" w:line="240" w:lineRule="auto"/>
        <w:ind w:left="567" w:right="0" w:hanging="709"/>
        <w:jc w:val="left"/>
        <w:rPr>
          <w:rFonts w:ascii="Calibri" w:cs="Calibri" w:eastAsia="Calibri" w:hAnsi="Calibri"/>
          <w:b w:val="0"/>
          <w:i w:val="0"/>
          <w:smallCaps w:val="0"/>
          <w:strike w:val="0"/>
          <w:color w:val="000000"/>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Build and transition services either separately combining Beta phase and/or retirement phases (including transition to Live). Buyers may choose to run a separate competition for DevOps Services specific to Live running of a service or product;  </w:t>
      </w:r>
      <w:r w:rsidDel="00000000" w:rsidR="00000000" w:rsidRPr="00000000">
        <w:rPr>
          <w:rtl w:val="0"/>
        </w:rPr>
      </w:r>
    </w:p>
    <w:p w:rsidR="00000000" w:rsidDel="00000000" w:rsidP="00000000" w:rsidRDefault="00000000" w:rsidRPr="00000000" w14:paraId="00000130">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tabs>
          <w:tab w:val="left" w:leader="none" w:pos="709"/>
          <w:tab w:val="left" w:leader="none" w:pos="284"/>
          <w:tab w:val="left" w:leader="none" w:pos="1276"/>
        </w:tabs>
        <w:spacing w:after="0" w:before="0" w:line="240" w:lineRule="auto"/>
        <w:ind w:left="567" w:right="0" w:hanging="709"/>
        <w:jc w:val="left"/>
        <w:rPr>
          <w:rFonts w:ascii="Calibri" w:cs="Calibri" w:eastAsia="Calibri" w:hAnsi="Calibri"/>
          <w:b w:val="0"/>
          <w:i w:val="0"/>
          <w:smallCaps w:val="0"/>
          <w:strike w:val="0"/>
          <w:color w:val="000000"/>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End-to-end development services with the ability to combine the full set of agile phases of discovery through to Live running and service optimisation; </w:t>
      </w:r>
      <w:r w:rsidDel="00000000" w:rsidR="00000000" w:rsidRPr="00000000">
        <w:rPr>
          <w:rtl w:val="0"/>
        </w:rPr>
      </w:r>
    </w:p>
    <w:p w:rsidR="00000000" w:rsidDel="00000000" w:rsidP="00000000" w:rsidRDefault="00000000" w:rsidRPr="00000000" w14:paraId="00000131">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567" w:right="0" w:hanging="709"/>
        <w:jc w:val="left"/>
        <w:rPr>
          <w:rFonts w:ascii="Calibri" w:cs="Calibri" w:eastAsia="Calibri" w:hAnsi="Calibri"/>
          <w:b w:val="0"/>
          <w:i w:val="0"/>
          <w:smallCaps w:val="0"/>
          <w:strike w:val="0"/>
          <w:color w:val="000000"/>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Data and business information management services primarily targeted at building, enhancing, and maintaining data assets, migrating data from one system to another and analysis and reporting from such data assets; and</w:t>
      </w:r>
      <w:r w:rsidDel="00000000" w:rsidR="00000000" w:rsidRPr="00000000">
        <w:rPr>
          <w:rtl w:val="0"/>
        </w:rPr>
      </w:r>
    </w:p>
    <w:p w:rsidR="00000000" w:rsidDel="00000000" w:rsidP="00000000" w:rsidRDefault="00000000" w:rsidRPr="00000000" w14:paraId="00000132">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tabs>
          <w:tab w:val="left" w:leader="none" w:pos="709"/>
          <w:tab w:val="left" w:leader="none" w:pos="567"/>
        </w:tabs>
        <w:spacing w:after="0" w:before="0" w:line="240" w:lineRule="auto"/>
        <w:ind w:left="567" w:right="0" w:hanging="709"/>
        <w:jc w:val="left"/>
        <w:rPr>
          <w:rFonts w:ascii="Calibri" w:cs="Calibri" w:eastAsia="Calibri" w:hAnsi="Calibri"/>
          <w:b w:val="0"/>
          <w:i w:val="0"/>
          <w:smallCaps w:val="0"/>
          <w:strike w:val="0"/>
          <w:color w:val="000000"/>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Knowledge transfer and skills development to support the Intelligent Client capability of the Buyer.</w:t>
      </w:r>
      <w:r w:rsidDel="00000000" w:rsidR="00000000" w:rsidRPr="00000000">
        <w:rPr>
          <w:rtl w:val="0"/>
        </w:rPr>
      </w:r>
    </w:p>
    <w:p w:rsidR="00000000" w:rsidDel="00000000" w:rsidP="00000000" w:rsidRDefault="00000000" w:rsidRPr="00000000" w14:paraId="0000013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284" w:right="0" w:hanging="710"/>
        <w:jc w:val="both"/>
        <w:rPr>
          <w:rFonts w:ascii="Calibri" w:cs="Calibri" w:eastAsia="Calibri" w:hAnsi="Calibri"/>
          <w:b w:val="0"/>
          <w:i w:val="0"/>
          <w:smallCaps w:val="0"/>
          <w:strike w:val="0"/>
          <w:color w:val="000000"/>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will be expected to work according to the Technology Code of Practice; the GDS Service Manual; any operating standards required by the Buyer. </w:t>
      </w:r>
    </w:p>
    <w:p w:rsidR="00000000" w:rsidDel="00000000" w:rsidP="00000000" w:rsidRDefault="00000000" w:rsidRPr="00000000" w14:paraId="00000134">
      <w:pPr>
        <w:tabs>
          <w:tab w:val="left" w:leader="none" w:pos="709"/>
        </w:tabs>
        <w:spacing w:line="240" w:lineRule="auto"/>
        <w:ind w:left="0" w:hanging="2"/>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35">
      <w:pPr>
        <w:numPr>
          <w:ilvl w:val="2"/>
          <w:numId w:val="12"/>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DevOps Services </w:t>
      </w:r>
      <w:r w:rsidDel="00000000" w:rsidR="00000000" w:rsidRPr="00000000">
        <w:rPr>
          <w:rtl w:val="0"/>
        </w:rPr>
      </w:r>
    </w:p>
    <w:p w:rsidR="00000000" w:rsidDel="00000000" w:rsidP="00000000" w:rsidRDefault="00000000" w:rsidRPr="00000000" w14:paraId="00000136">
      <w:pPr>
        <w:numPr>
          <w:ilvl w:val="3"/>
          <w:numId w:val="12"/>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 stable, retained core services team to provide service stability, enhancements, maintenance and operational support to products and platforms; </w:t>
      </w:r>
      <w:r w:rsidDel="00000000" w:rsidR="00000000" w:rsidRPr="00000000">
        <w:rPr>
          <w:rtl w:val="0"/>
        </w:rPr>
      </w:r>
    </w:p>
    <w:p w:rsidR="00000000" w:rsidDel="00000000" w:rsidP="00000000" w:rsidRDefault="00000000" w:rsidRPr="00000000" w14:paraId="00000137">
      <w:pPr>
        <w:numPr>
          <w:ilvl w:val="3"/>
          <w:numId w:val="12"/>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Burst capacity where required to deal with major service enhancements or optimisation projects, demand peaks, hyper-care support or significant fault identification and resolution; </w:t>
      </w:r>
      <w:r w:rsidDel="00000000" w:rsidR="00000000" w:rsidRPr="00000000">
        <w:rPr>
          <w:rtl w:val="0"/>
        </w:rPr>
      </w:r>
    </w:p>
    <w:p w:rsidR="00000000" w:rsidDel="00000000" w:rsidP="00000000" w:rsidRDefault="00000000" w:rsidRPr="00000000" w14:paraId="00000138">
      <w:pPr>
        <w:numPr>
          <w:ilvl w:val="3"/>
          <w:numId w:val="12"/>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Right-size deployment between run operations, routine maintenance, and significant enhancements;</w:t>
      </w:r>
      <w:r w:rsidDel="00000000" w:rsidR="00000000" w:rsidRPr="00000000">
        <w:rPr>
          <w:rtl w:val="0"/>
        </w:rPr>
      </w:r>
    </w:p>
    <w:p w:rsidR="00000000" w:rsidDel="00000000" w:rsidP="00000000" w:rsidRDefault="00000000" w:rsidRPr="00000000" w14:paraId="00000139">
      <w:pPr>
        <w:numPr>
          <w:ilvl w:val="3"/>
          <w:numId w:val="12"/>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Monitor and accurately report. The scope of configurable products may include, but is not limited to;</w:t>
      </w:r>
      <w:r w:rsidDel="00000000" w:rsidR="00000000" w:rsidRPr="00000000">
        <w:rPr>
          <w:rtl w:val="0"/>
        </w:rPr>
      </w:r>
    </w:p>
    <w:p w:rsidR="00000000" w:rsidDel="00000000" w:rsidP="00000000" w:rsidRDefault="00000000" w:rsidRPr="00000000" w14:paraId="0000013A">
      <w:pPr>
        <w:numPr>
          <w:ilvl w:val="3"/>
          <w:numId w:val="12"/>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Software licensing validation and or preferential purchasing services;</w:t>
      </w:r>
      <w:r w:rsidDel="00000000" w:rsidR="00000000" w:rsidRPr="00000000">
        <w:rPr>
          <w:rtl w:val="0"/>
        </w:rPr>
      </w:r>
    </w:p>
    <w:p w:rsidR="00000000" w:rsidDel="00000000" w:rsidP="00000000" w:rsidRDefault="00000000" w:rsidRPr="00000000" w14:paraId="0000013B">
      <w:pPr>
        <w:numPr>
          <w:ilvl w:val="3"/>
          <w:numId w:val="12"/>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Web hosting services where required, including PPE/sandpit environments;</w:t>
      </w:r>
      <w:r w:rsidDel="00000000" w:rsidR="00000000" w:rsidRPr="00000000">
        <w:rPr>
          <w:rtl w:val="0"/>
        </w:rPr>
      </w:r>
    </w:p>
    <w:p w:rsidR="00000000" w:rsidDel="00000000" w:rsidP="00000000" w:rsidRDefault="00000000" w:rsidRPr="00000000" w14:paraId="0000013C">
      <w:pPr>
        <w:numPr>
          <w:ilvl w:val="3"/>
          <w:numId w:val="12"/>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Configurable platform and product maintenance, support, enhancement, and release management services including AI and automation products; and</w:t>
      </w:r>
      <w:r w:rsidDel="00000000" w:rsidR="00000000" w:rsidRPr="00000000">
        <w:rPr>
          <w:rtl w:val="0"/>
        </w:rPr>
      </w:r>
    </w:p>
    <w:p w:rsidR="00000000" w:rsidDel="00000000" w:rsidP="00000000" w:rsidRDefault="00000000" w:rsidRPr="00000000" w14:paraId="0000013D">
      <w:pPr>
        <w:numPr>
          <w:ilvl w:val="3"/>
          <w:numId w:val="12"/>
        </w:numPr>
        <w:tabs>
          <w:tab w:val="left" w:leader="none" w:pos="709"/>
        </w:tabs>
        <w:spacing w:after="200"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Data extraction, translation, transfer, conversion and backup, recovery and disposal within target technologies or dependent products.</w:t>
      </w:r>
      <w:r w:rsidDel="00000000" w:rsidR="00000000" w:rsidRPr="00000000">
        <w:rPr>
          <w:rtl w:val="0"/>
        </w:rPr>
      </w:r>
    </w:p>
    <w:p w:rsidR="00000000" w:rsidDel="00000000" w:rsidP="00000000" w:rsidRDefault="00000000" w:rsidRPr="00000000" w14:paraId="0000013E">
      <w:pPr>
        <w:numPr>
          <w:ilvl w:val="2"/>
          <w:numId w:val="12"/>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Early Design/Delivery Services (discovery and Alpha)</w:t>
      </w:r>
      <w:r w:rsidDel="00000000" w:rsidR="00000000" w:rsidRPr="00000000">
        <w:rPr>
          <w:rtl w:val="0"/>
        </w:rPr>
      </w:r>
    </w:p>
    <w:p w:rsidR="00000000" w:rsidDel="00000000" w:rsidP="00000000" w:rsidRDefault="00000000" w:rsidRPr="00000000" w14:paraId="0000013F">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09" w:right="0" w:hanging="709"/>
        <w:jc w:val="left"/>
        <w:rPr>
          <w:rFonts w:ascii="Calibri" w:cs="Calibri" w:eastAsia="Calibri" w:hAnsi="Calibri"/>
          <w:b w:val="0"/>
          <w:i w:val="0"/>
          <w:smallCaps w:val="0"/>
          <w:strike w:val="0"/>
          <w:color w:val="000000"/>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Discovery or extended discovery and separately for the Alpha; support the entirety of the early design/delivery phase.</w:t>
      </w:r>
      <w:r w:rsidDel="00000000" w:rsidR="00000000" w:rsidRPr="00000000">
        <w:rPr>
          <w:rtl w:val="0"/>
        </w:rPr>
      </w:r>
    </w:p>
    <w:p w:rsidR="00000000" w:rsidDel="00000000" w:rsidP="00000000" w:rsidRDefault="00000000" w:rsidRPr="00000000" w14:paraId="00000140">
      <w:pPr>
        <w:numPr>
          <w:ilvl w:val="3"/>
          <w:numId w:val="12"/>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Knowledge transfer activities to facilitate handover if there is a different Supplier for the build phase. </w:t>
      </w:r>
      <w:r w:rsidDel="00000000" w:rsidR="00000000" w:rsidRPr="00000000">
        <w:rPr>
          <w:rtl w:val="0"/>
        </w:rPr>
      </w:r>
    </w:p>
    <w:p w:rsidR="00000000" w:rsidDel="00000000" w:rsidP="00000000" w:rsidRDefault="00000000" w:rsidRPr="00000000" w14:paraId="00000141">
      <w:pPr>
        <w:tabs>
          <w:tab w:val="left" w:leader="none" w:pos="709"/>
          <w:tab w:val="left" w:leader="none" w:pos="1276"/>
        </w:tabs>
        <w:spacing w:line="240" w:lineRule="auto"/>
        <w:ind w:left="0" w:hanging="2"/>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42">
      <w:pPr>
        <w:numPr>
          <w:ilvl w:val="2"/>
          <w:numId w:val="12"/>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Build and Transition Services</w:t>
      </w:r>
      <w:r w:rsidDel="00000000" w:rsidR="00000000" w:rsidRPr="00000000">
        <w:rPr>
          <w:rtl w:val="0"/>
        </w:rPr>
      </w:r>
    </w:p>
    <w:p w:rsidR="00000000" w:rsidDel="00000000" w:rsidP="00000000" w:rsidRDefault="00000000" w:rsidRPr="00000000" w14:paraId="00000143">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tabs>
          <w:tab w:val="left" w:leader="none" w:pos="709"/>
          <w:tab w:val="left" w:leader="none" w:pos="1276"/>
        </w:tabs>
        <w:spacing w:after="0" w:before="0" w:line="276" w:lineRule="auto"/>
        <w:ind w:left="709" w:right="0" w:hanging="709"/>
        <w:jc w:val="left"/>
        <w:rPr>
          <w:rFonts w:ascii="Calibri" w:cs="Calibri" w:eastAsia="Calibri" w:hAnsi="Calibri"/>
          <w:b w:val="0"/>
          <w:i w:val="0"/>
          <w:smallCaps w:val="0"/>
          <w:strike w:val="0"/>
          <w:color w:val="000000"/>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Creation of the private Beta through to service retirement (if it is not approved for transition) or transition into Live. </w:t>
      </w:r>
      <w:r w:rsidDel="00000000" w:rsidR="00000000" w:rsidRPr="00000000">
        <w:rPr>
          <w:rtl w:val="0"/>
        </w:rPr>
      </w:r>
    </w:p>
    <w:p w:rsidR="00000000" w:rsidDel="00000000" w:rsidP="00000000" w:rsidRDefault="00000000" w:rsidRPr="00000000" w14:paraId="00000144">
      <w:pPr>
        <w:numPr>
          <w:ilvl w:val="3"/>
          <w:numId w:val="12"/>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Ongoing discovery to support agility and enable delivery of emerging requirements.</w:t>
      </w:r>
      <w:r w:rsidDel="00000000" w:rsidR="00000000" w:rsidRPr="00000000">
        <w:rPr>
          <w:rtl w:val="0"/>
        </w:rPr>
      </w:r>
    </w:p>
    <w:p w:rsidR="00000000" w:rsidDel="00000000" w:rsidP="00000000" w:rsidRDefault="00000000" w:rsidRPr="00000000" w14:paraId="00000145">
      <w:pPr>
        <w:tabs>
          <w:tab w:val="left" w:leader="none" w:pos="709"/>
          <w:tab w:val="left" w:leader="none" w:pos="1276"/>
        </w:tabs>
        <w:spacing w:line="240" w:lineRule="auto"/>
        <w:ind w:left="0" w:hanging="2"/>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46">
      <w:pPr>
        <w:numPr>
          <w:ilvl w:val="2"/>
          <w:numId w:val="12"/>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End-to-end Development Services</w:t>
      </w:r>
      <w:r w:rsidDel="00000000" w:rsidR="00000000" w:rsidRPr="00000000">
        <w:rPr>
          <w:rtl w:val="0"/>
        </w:rPr>
      </w:r>
    </w:p>
    <w:p w:rsidR="00000000" w:rsidDel="00000000" w:rsidP="00000000" w:rsidRDefault="00000000" w:rsidRPr="00000000" w14:paraId="00000147">
      <w:pPr>
        <w:numPr>
          <w:ilvl w:val="3"/>
          <w:numId w:val="12"/>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End-to-end development services, from discovery through to transition to Live, potentially also including ongoing service run and decommissioning of predecessor systems or services, where the programme/ project size is such that the value for money benefits of combining early design and delivery services. </w:t>
      </w:r>
      <w:r w:rsidDel="00000000" w:rsidR="00000000" w:rsidRPr="00000000">
        <w:rPr>
          <w:rtl w:val="0"/>
        </w:rPr>
      </w:r>
    </w:p>
    <w:p w:rsidR="00000000" w:rsidDel="00000000" w:rsidP="00000000" w:rsidRDefault="00000000" w:rsidRPr="00000000" w14:paraId="00000148">
      <w:pPr>
        <w:tabs>
          <w:tab w:val="left" w:leader="none" w:pos="709"/>
          <w:tab w:val="left" w:leader="none" w:pos="1276"/>
        </w:tabs>
        <w:spacing w:line="240" w:lineRule="auto"/>
        <w:ind w:left="0" w:hanging="2"/>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49">
      <w:pPr>
        <w:numPr>
          <w:ilvl w:val="2"/>
          <w:numId w:val="12"/>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Data and Business Information Management Services</w:t>
      </w:r>
      <w:r w:rsidDel="00000000" w:rsidR="00000000" w:rsidRPr="00000000">
        <w:rPr>
          <w:rtl w:val="0"/>
        </w:rPr>
      </w:r>
    </w:p>
    <w:p w:rsidR="00000000" w:rsidDel="00000000" w:rsidP="00000000" w:rsidRDefault="00000000" w:rsidRPr="00000000" w14:paraId="0000014A">
      <w:pPr>
        <w:numPr>
          <w:ilvl w:val="3"/>
          <w:numId w:val="12"/>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Data and business information management services include digital skills, which do not automatically fit into the previously defined delivery phases. These services include: </w:t>
      </w:r>
      <w:r w:rsidDel="00000000" w:rsidR="00000000" w:rsidRPr="00000000">
        <w:rPr>
          <w:rtl w:val="0"/>
        </w:rPr>
      </w:r>
    </w:p>
    <w:p w:rsidR="00000000" w:rsidDel="00000000" w:rsidP="00000000" w:rsidRDefault="00000000" w:rsidRPr="00000000" w14:paraId="0000014B">
      <w:pPr>
        <w:numPr>
          <w:ilvl w:val="4"/>
          <w:numId w:val="12"/>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Phased migration of data set logic from one product or platform to another;</w:t>
      </w:r>
      <w:r w:rsidDel="00000000" w:rsidR="00000000" w:rsidRPr="00000000">
        <w:rPr>
          <w:rtl w:val="0"/>
        </w:rPr>
      </w:r>
    </w:p>
    <w:p w:rsidR="00000000" w:rsidDel="00000000" w:rsidP="00000000" w:rsidRDefault="00000000" w:rsidRPr="00000000" w14:paraId="0000014C">
      <w:pPr>
        <w:numPr>
          <w:ilvl w:val="4"/>
          <w:numId w:val="12"/>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Reconfiguration of data sets to align with emerging standards;</w:t>
      </w:r>
      <w:r w:rsidDel="00000000" w:rsidR="00000000" w:rsidRPr="00000000">
        <w:rPr>
          <w:rtl w:val="0"/>
        </w:rPr>
      </w:r>
    </w:p>
    <w:p w:rsidR="00000000" w:rsidDel="00000000" w:rsidP="00000000" w:rsidRDefault="00000000" w:rsidRPr="00000000" w14:paraId="0000014D">
      <w:pPr>
        <w:numPr>
          <w:ilvl w:val="4"/>
          <w:numId w:val="12"/>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Developing discrete presentation views of datasets using web-based technologies; </w:t>
      </w:r>
      <w:r w:rsidDel="00000000" w:rsidR="00000000" w:rsidRPr="00000000">
        <w:rPr>
          <w:rtl w:val="0"/>
        </w:rPr>
      </w:r>
    </w:p>
    <w:p w:rsidR="00000000" w:rsidDel="00000000" w:rsidP="00000000" w:rsidRDefault="00000000" w:rsidRPr="00000000" w14:paraId="0000014E">
      <w:pPr>
        <w:numPr>
          <w:ilvl w:val="4"/>
          <w:numId w:val="12"/>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Creating data visualisations that combine and link data not previously linked;</w:t>
      </w:r>
      <w:r w:rsidDel="00000000" w:rsidR="00000000" w:rsidRPr="00000000">
        <w:rPr>
          <w:rtl w:val="0"/>
        </w:rPr>
      </w:r>
    </w:p>
    <w:p w:rsidR="00000000" w:rsidDel="00000000" w:rsidP="00000000" w:rsidRDefault="00000000" w:rsidRPr="00000000" w14:paraId="0000014F">
      <w:pPr>
        <w:numPr>
          <w:ilvl w:val="4"/>
          <w:numId w:val="12"/>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Creating complex digital dashboards;</w:t>
      </w:r>
      <w:r w:rsidDel="00000000" w:rsidR="00000000" w:rsidRPr="00000000">
        <w:rPr>
          <w:rtl w:val="0"/>
        </w:rPr>
      </w:r>
    </w:p>
    <w:p w:rsidR="00000000" w:rsidDel="00000000" w:rsidP="00000000" w:rsidRDefault="00000000" w:rsidRPr="00000000" w14:paraId="00000150">
      <w:pPr>
        <w:numPr>
          <w:ilvl w:val="4"/>
          <w:numId w:val="12"/>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Performing data analytics to inform decision-making; </w:t>
      </w:r>
      <w:r w:rsidDel="00000000" w:rsidR="00000000" w:rsidRPr="00000000">
        <w:rPr>
          <w:rtl w:val="0"/>
        </w:rPr>
      </w:r>
    </w:p>
    <w:p w:rsidR="00000000" w:rsidDel="00000000" w:rsidP="00000000" w:rsidRDefault="00000000" w:rsidRPr="00000000" w14:paraId="00000151">
      <w:pPr>
        <w:numPr>
          <w:ilvl w:val="4"/>
          <w:numId w:val="12"/>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Adding machine learning and artificial intelligence to existing solutions; and</w:t>
      </w:r>
      <w:r w:rsidDel="00000000" w:rsidR="00000000" w:rsidRPr="00000000">
        <w:rPr>
          <w:rtl w:val="0"/>
        </w:rPr>
      </w:r>
    </w:p>
    <w:p w:rsidR="00000000" w:rsidDel="00000000" w:rsidP="00000000" w:rsidRDefault="00000000" w:rsidRPr="00000000" w14:paraId="00000152">
      <w:pPr>
        <w:numPr>
          <w:ilvl w:val="4"/>
          <w:numId w:val="12"/>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Filtering and compiling data to target specific audiences.</w:t>
      </w:r>
      <w:r w:rsidDel="00000000" w:rsidR="00000000" w:rsidRPr="00000000">
        <w:rPr>
          <w:rtl w:val="0"/>
        </w:rPr>
      </w:r>
    </w:p>
    <w:p w:rsidR="00000000" w:rsidDel="00000000" w:rsidP="00000000" w:rsidRDefault="00000000" w:rsidRPr="00000000" w14:paraId="00000153">
      <w:pPr>
        <w:tabs>
          <w:tab w:val="left" w:leader="none" w:pos="709"/>
        </w:tabs>
        <w:spacing w:line="240" w:lineRule="auto"/>
        <w:ind w:left="0" w:hanging="2"/>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54">
      <w:pPr>
        <w:numPr>
          <w:ilvl w:val="2"/>
          <w:numId w:val="12"/>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Knowledge Transfer and Skills Development </w:t>
      </w:r>
      <w:r w:rsidDel="00000000" w:rsidR="00000000" w:rsidRPr="00000000">
        <w:rPr>
          <w:rtl w:val="0"/>
        </w:rPr>
      </w:r>
    </w:p>
    <w:p w:rsidR="00000000" w:rsidDel="00000000" w:rsidP="00000000" w:rsidRDefault="00000000" w:rsidRPr="00000000" w14:paraId="00000155">
      <w:pPr>
        <w:numPr>
          <w:ilvl w:val="3"/>
          <w:numId w:val="12"/>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Commission specific knowledge transfer and skills development services from Lot Suppliers to enable it to enhance Intelligent Client capability, covering the ability to exercise oversight, planning, design, delivery and validation of the configuration services delivered. </w:t>
      </w:r>
      <w:r w:rsidDel="00000000" w:rsidR="00000000" w:rsidRPr="00000000">
        <w:rPr>
          <w:rtl w:val="0"/>
        </w:rPr>
      </w:r>
    </w:p>
    <w:p w:rsidR="00000000" w:rsidDel="00000000" w:rsidP="00000000" w:rsidRDefault="00000000" w:rsidRPr="00000000" w14:paraId="00000156">
      <w:pPr>
        <w:numPr>
          <w:ilvl w:val="3"/>
          <w:numId w:val="12"/>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Such knowledge transfer and skills development services may include, but are not limited to: </w:t>
      </w:r>
      <w:r w:rsidDel="00000000" w:rsidR="00000000" w:rsidRPr="00000000">
        <w:rPr>
          <w:rtl w:val="0"/>
        </w:rPr>
      </w:r>
    </w:p>
    <w:p w:rsidR="00000000" w:rsidDel="00000000" w:rsidP="00000000" w:rsidRDefault="00000000" w:rsidRPr="00000000" w14:paraId="00000157">
      <w:pPr>
        <w:numPr>
          <w:ilvl w:val="5"/>
          <w:numId w:val="12"/>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Provision of manuals, operating instructions, guidance notes and training packs relevant to elements of the service delivery;</w:t>
      </w:r>
      <w:r w:rsidDel="00000000" w:rsidR="00000000" w:rsidRPr="00000000">
        <w:rPr>
          <w:rtl w:val="0"/>
        </w:rPr>
      </w:r>
    </w:p>
    <w:p w:rsidR="00000000" w:rsidDel="00000000" w:rsidP="00000000" w:rsidRDefault="00000000" w:rsidRPr="00000000" w14:paraId="00000158">
      <w:pPr>
        <w:numPr>
          <w:ilvl w:val="5"/>
          <w:numId w:val="12"/>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An obligation to permit job-shadowing by the Buyer’s staff or representatives; and</w:t>
      </w:r>
      <w:r w:rsidDel="00000000" w:rsidR="00000000" w:rsidRPr="00000000">
        <w:rPr>
          <w:rtl w:val="0"/>
        </w:rPr>
      </w:r>
    </w:p>
    <w:p w:rsidR="00000000" w:rsidDel="00000000" w:rsidP="00000000" w:rsidRDefault="00000000" w:rsidRPr="00000000" w14:paraId="00000159">
      <w:pPr>
        <w:numPr>
          <w:ilvl w:val="5"/>
          <w:numId w:val="12"/>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Provision of focused training specific to policies, processes, methodologies, software, and tooling used in delivery of the Services to the Buyer.  </w:t>
      </w:r>
      <w:r w:rsidDel="00000000" w:rsidR="00000000" w:rsidRPr="00000000">
        <w:rPr>
          <w:rtl w:val="0"/>
        </w:rPr>
      </w:r>
    </w:p>
    <w:p w:rsidR="00000000" w:rsidDel="00000000" w:rsidP="00000000" w:rsidRDefault="00000000" w:rsidRPr="00000000" w14:paraId="0000015A">
      <w:pPr>
        <w:tabs>
          <w:tab w:val="left" w:leader="none" w:pos="709"/>
        </w:tabs>
        <w:spacing w:line="240" w:lineRule="auto"/>
        <w:ind w:left="0" w:hanging="2"/>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5B">
      <w:pPr>
        <w:numPr>
          <w:ilvl w:val="2"/>
          <w:numId w:val="12"/>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Call-Off Contract Procedure</w:t>
      </w:r>
      <w:r w:rsidDel="00000000" w:rsidR="00000000" w:rsidRPr="00000000">
        <w:rPr>
          <w:rtl w:val="0"/>
        </w:rPr>
      </w:r>
    </w:p>
    <w:p w:rsidR="00000000" w:rsidDel="00000000" w:rsidP="00000000" w:rsidRDefault="00000000" w:rsidRPr="00000000" w14:paraId="0000015C">
      <w:pPr>
        <w:numPr>
          <w:ilvl w:val="3"/>
          <w:numId w:val="12"/>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Award available via Further Competition Procedure or direct award.</w:t>
      </w:r>
      <w:r w:rsidDel="00000000" w:rsidR="00000000" w:rsidRPr="00000000">
        <w:rPr>
          <w:rtl w:val="0"/>
        </w:rPr>
      </w:r>
    </w:p>
    <w:p w:rsidR="00000000" w:rsidDel="00000000" w:rsidP="00000000" w:rsidRDefault="00000000" w:rsidRPr="00000000" w14:paraId="0000015D">
      <w:pPr>
        <w:numPr>
          <w:ilvl w:val="3"/>
          <w:numId w:val="12"/>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maximum Call-Off Contract periods, including the initial term and any extensions, shall be 60 Months (5 calendar years).</w:t>
      </w:r>
      <w:r w:rsidDel="00000000" w:rsidR="00000000" w:rsidRPr="00000000">
        <w:rPr>
          <w:rtl w:val="0"/>
        </w:rPr>
      </w:r>
    </w:p>
    <w:p w:rsidR="00000000" w:rsidDel="00000000" w:rsidP="00000000" w:rsidRDefault="00000000" w:rsidRPr="00000000" w14:paraId="0000015E">
      <w:pPr>
        <w:numPr>
          <w:ilvl w:val="2"/>
          <w:numId w:val="12"/>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There are two tiers for the maximum Call-Off Contract values for a Lot 4b contract:</w:t>
      </w:r>
      <w:r w:rsidDel="00000000" w:rsidR="00000000" w:rsidRPr="00000000">
        <w:rPr>
          <w:rtl w:val="0"/>
        </w:rPr>
      </w:r>
    </w:p>
    <w:p w:rsidR="00000000" w:rsidDel="00000000" w:rsidP="00000000" w:rsidRDefault="00000000" w:rsidRPr="00000000" w14:paraId="0000015F">
      <w:pPr>
        <w:numPr>
          <w:ilvl w:val="3"/>
          <w:numId w:val="12"/>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maximum Call-Off Contract value for single-phase delivery work is £500,000.</w:t>
      </w:r>
      <w:r w:rsidDel="00000000" w:rsidR="00000000" w:rsidRPr="00000000">
        <w:rPr>
          <w:rtl w:val="0"/>
        </w:rPr>
      </w:r>
    </w:p>
    <w:p w:rsidR="00000000" w:rsidDel="00000000" w:rsidP="00000000" w:rsidRDefault="00000000" w:rsidRPr="00000000" w14:paraId="00000160">
      <w:pPr>
        <w:numPr>
          <w:ilvl w:val="3"/>
          <w:numId w:val="12"/>
        </w:numPr>
        <w:tabs>
          <w:tab w:val="left" w:leader="none" w:pos="709"/>
          <w:tab w:val="left" w:leader="none" w:pos="1276"/>
        </w:tabs>
        <w:spacing w:after="200"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maximum Call-Off Contract value for multi-phase project delivery is £3,000,000.</w:t>
      </w:r>
      <w:r w:rsidDel="00000000" w:rsidR="00000000" w:rsidRPr="00000000">
        <w:rPr>
          <w:rtl w:val="0"/>
        </w:rPr>
      </w:r>
    </w:p>
    <w:p w:rsidR="00000000" w:rsidDel="00000000" w:rsidP="00000000" w:rsidRDefault="00000000" w:rsidRPr="00000000" w14:paraId="00000161">
      <w:pPr>
        <w:numPr>
          <w:ilvl w:val="1"/>
          <w:numId w:val="12"/>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b w:val="1"/>
          <w:color w:val="000000"/>
          <w:sz w:val="22"/>
          <w:szCs w:val="22"/>
          <w:rtl w:val="0"/>
        </w:rPr>
        <w:t xml:space="preserve">Service Provision 1 Lot 5: Capability Pipeline Services</w:t>
      </w:r>
      <w:r w:rsidDel="00000000" w:rsidR="00000000" w:rsidRPr="00000000">
        <w:rPr>
          <w:rtl w:val="0"/>
        </w:rPr>
      </w:r>
    </w:p>
    <w:p w:rsidR="00000000" w:rsidDel="00000000" w:rsidP="00000000" w:rsidRDefault="00000000" w:rsidRPr="00000000" w14:paraId="00000162">
      <w:pPr>
        <w:numPr>
          <w:ilvl w:val="2"/>
          <w:numId w:val="12"/>
        </w:numPr>
        <w:shd w:fill="ffffff" w:val="clear"/>
        <w:tabs>
          <w:tab w:val="left" w:leader="none" w:pos="709"/>
        </w:tabs>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Where requested by the Buyer, Suppliers will provide a range of Services and will deliver capability pipeline services to the Buyer. Services may include but are not limited to;</w:t>
      </w:r>
      <w:r w:rsidDel="00000000" w:rsidR="00000000" w:rsidRPr="00000000">
        <w:rPr>
          <w:rtl w:val="0"/>
        </w:rPr>
      </w:r>
    </w:p>
    <w:p w:rsidR="00000000" w:rsidDel="00000000" w:rsidP="00000000" w:rsidRDefault="00000000" w:rsidRPr="00000000" w14:paraId="00000163">
      <w:pPr>
        <w:numPr>
          <w:ilvl w:val="3"/>
          <w:numId w:val="12"/>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Technical academies; and</w:t>
      </w:r>
      <w:r w:rsidDel="00000000" w:rsidR="00000000" w:rsidRPr="00000000">
        <w:rPr>
          <w:rtl w:val="0"/>
        </w:rPr>
      </w:r>
    </w:p>
    <w:p w:rsidR="00000000" w:rsidDel="00000000" w:rsidP="00000000" w:rsidRDefault="00000000" w:rsidRPr="00000000" w14:paraId="00000164">
      <w:pPr>
        <w:numPr>
          <w:ilvl w:val="3"/>
          <w:numId w:val="12"/>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Rapid cross training capabilities.</w:t>
      </w:r>
      <w:r w:rsidDel="00000000" w:rsidR="00000000" w:rsidRPr="00000000">
        <w:rPr>
          <w:rtl w:val="0"/>
        </w:rPr>
      </w:r>
    </w:p>
    <w:p w:rsidR="00000000" w:rsidDel="00000000" w:rsidP="00000000" w:rsidRDefault="00000000" w:rsidRPr="00000000" w14:paraId="00000165">
      <w:pPr>
        <w:tabs>
          <w:tab w:val="left" w:leader="none" w:pos="709"/>
        </w:tabs>
        <w:spacing w:line="240" w:lineRule="auto"/>
        <w:ind w:left="0" w:hanging="2"/>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66">
      <w:pPr>
        <w:tabs>
          <w:tab w:val="left" w:leader="none" w:pos="709"/>
        </w:tabs>
        <w:spacing w:line="240" w:lineRule="auto"/>
        <w:ind w:left="0" w:hanging="2"/>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67">
      <w:pPr>
        <w:numPr>
          <w:ilvl w:val="2"/>
          <w:numId w:val="12"/>
        </w:numPr>
        <w:tabs>
          <w:tab w:val="left" w:leader="none" w:pos="709"/>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Technical Academies</w:t>
      </w:r>
      <w:r w:rsidDel="00000000" w:rsidR="00000000" w:rsidRPr="00000000">
        <w:rPr>
          <w:rtl w:val="0"/>
        </w:rPr>
      </w:r>
    </w:p>
    <w:p w:rsidR="00000000" w:rsidDel="00000000" w:rsidP="00000000" w:rsidRDefault="00000000" w:rsidRPr="00000000" w14:paraId="00000168">
      <w:pPr>
        <w:numPr>
          <w:ilvl w:val="3"/>
          <w:numId w:val="12"/>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Provision of academy training that meets the following requirements:</w:t>
      </w:r>
      <w:r w:rsidDel="00000000" w:rsidR="00000000" w:rsidRPr="00000000">
        <w:rPr>
          <w:rtl w:val="0"/>
        </w:rPr>
      </w:r>
    </w:p>
    <w:p w:rsidR="00000000" w:rsidDel="00000000" w:rsidP="00000000" w:rsidRDefault="00000000" w:rsidRPr="00000000" w14:paraId="00000169">
      <w:pPr>
        <w:numPr>
          <w:ilvl w:val="3"/>
          <w:numId w:val="12"/>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Academy trainee employed on permanent/fixed term contract/umbrella basis by the Supplier and on placement in Buyer organisation for length of training;</w:t>
      </w:r>
      <w:r w:rsidDel="00000000" w:rsidR="00000000" w:rsidRPr="00000000">
        <w:rPr>
          <w:rtl w:val="0"/>
        </w:rPr>
      </w:r>
    </w:p>
    <w:p w:rsidR="00000000" w:rsidDel="00000000" w:rsidP="00000000" w:rsidRDefault="00000000" w:rsidRPr="00000000" w14:paraId="0000016A">
      <w:pPr>
        <w:numPr>
          <w:ilvl w:val="3"/>
          <w:numId w:val="12"/>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Providing academy training tailored to the Buyer’s organisation, and specifically to the target technologies or role types;</w:t>
      </w:r>
      <w:r w:rsidDel="00000000" w:rsidR="00000000" w:rsidRPr="00000000">
        <w:rPr>
          <w:rtl w:val="0"/>
        </w:rPr>
      </w:r>
    </w:p>
    <w:p w:rsidR="00000000" w:rsidDel="00000000" w:rsidP="00000000" w:rsidRDefault="00000000" w:rsidRPr="00000000" w14:paraId="0000016B">
      <w:pPr>
        <w:numPr>
          <w:ilvl w:val="3"/>
          <w:numId w:val="12"/>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Maximum length of a technical academy programme is 36 Months (3 calendar years);</w:t>
      </w:r>
      <w:r w:rsidDel="00000000" w:rsidR="00000000" w:rsidRPr="00000000">
        <w:rPr>
          <w:rtl w:val="0"/>
        </w:rPr>
      </w:r>
    </w:p>
    <w:p w:rsidR="00000000" w:rsidDel="00000000" w:rsidP="00000000" w:rsidRDefault="00000000" w:rsidRPr="00000000" w14:paraId="0000016C">
      <w:pPr>
        <w:numPr>
          <w:ilvl w:val="3"/>
          <w:numId w:val="12"/>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Orientation and skills-based training in the target technology/role type to academy trainees prior to deployment with the Buyer; and</w:t>
      </w:r>
      <w:r w:rsidDel="00000000" w:rsidR="00000000" w:rsidRPr="00000000">
        <w:rPr>
          <w:rtl w:val="0"/>
        </w:rPr>
      </w:r>
    </w:p>
    <w:p w:rsidR="00000000" w:rsidDel="00000000" w:rsidP="00000000" w:rsidRDefault="00000000" w:rsidRPr="00000000" w14:paraId="0000016D">
      <w:pPr>
        <w:numPr>
          <w:ilvl w:val="3"/>
          <w:numId w:val="12"/>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Expected accreditation to at least SFIA Level 3 on completion of academy process/training placement. Refer to attributes that characterise SFIA levels of responsibility and accountability at </w:t>
      </w:r>
      <w:hyperlink r:id="rId13">
        <w:r w:rsidDel="00000000" w:rsidR="00000000" w:rsidRPr="00000000">
          <w:rPr>
            <w:rFonts w:ascii="Calibri" w:cs="Calibri" w:eastAsia="Calibri" w:hAnsi="Calibri"/>
            <w:color w:val="000000"/>
            <w:sz w:val="22"/>
            <w:szCs w:val="22"/>
            <w:u w:val="single"/>
            <w:rtl w:val="0"/>
          </w:rPr>
          <w:t xml:space="preserve">https://sfia-online.org</w:t>
        </w:r>
      </w:hyperlink>
      <w:r w:rsidDel="00000000" w:rsidR="00000000" w:rsidRPr="00000000">
        <w:rPr>
          <w:rtl w:val="0"/>
        </w:rPr>
      </w:r>
    </w:p>
    <w:p w:rsidR="00000000" w:rsidDel="00000000" w:rsidP="00000000" w:rsidRDefault="00000000" w:rsidRPr="00000000" w14:paraId="0000016E">
      <w:pPr>
        <w:numPr>
          <w:ilvl w:val="3"/>
          <w:numId w:val="12"/>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list is representative of the types of technologies and DDaT role types of buyers may target and is not exhaustive.</w:t>
      </w:r>
      <w:r w:rsidDel="00000000" w:rsidR="00000000" w:rsidRPr="00000000">
        <w:rPr>
          <w:rtl w:val="0"/>
        </w:rPr>
      </w:r>
    </w:p>
    <w:p w:rsidR="00000000" w:rsidDel="00000000" w:rsidP="00000000" w:rsidRDefault="00000000" w:rsidRPr="00000000" w14:paraId="0000016F">
      <w:pPr>
        <w:tabs>
          <w:tab w:val="left" w:leader="none" w:pos="709"/>
          <w:tab w:val="left" w:leader="none" w:pos="1276"/>
        </w:tabs>
        <w:spacing w:line="240" w:lineRule="auto"/>
        <w:ind w:left="0" w:hanging="2"/>
        <w:jc w:val="left"/>
        <w:rPr>
          <w:rFonts w:ascii="Calibri" w:cs="Calibri" w:eastAsia="Calibri" w:hAnsi="Calibri"/>
          <w:color w:val="000000"/>
          <w:sz w:val="22"/>
          <w:szCs w:val="22"/>
        </w:rPr>
      </w:pPr>
      <w:bookmarkStart w:colFirst="0" w:colLast="0" w:name="_2xcytpi" w:id="22"/>
      <w:bookmarkEnd w:id="22"/>
      <w:r w:rsidDel="00000000" w:rsidR="00000000" w:rsidRPr="00000000">
        <w:rPr>
          <w:rtl w:val="0"/>
        </w:rPr>
      </w:r>
    </w:p>
    <w:p w:rsidR="00000000" w:rsidDel="00000000" w:rsidP="00000000" w:rsidRDefault="00000000" w:rsidRPr="00000000" w14:paraId="00000170">
      <w:pPr>
        <w:numPr>
          <w:ilvl w:val="2"/>
          <w:numId w:val="12"/>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Cross Training Capabilities</w:t>
      </w:r>
      <w:r w:rsidDel="00000000" w:rsidR="00000000" w:rsidRPr="00000000">
        <w:rPr>
          <w:rtl w:val="0"/>
        </w:rPr>
      </w:r>
    </w:p>
    <w:p w:rsidR="00000000" w:rsidDel="00000000" w:rsidP="00000000" w:rsidRDefault="00000000" w:rsidRPr="00000000" w14:paraId="00000171">
      <w:pPr>
        <w:numPr>
          <w:ilvl w:val="3"/>
          <w:numId w:val="12"/>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Provision of rapid cross training delivered to small groups of individuals that is exceptionally bespoke and specific to the Buyer’s department/strategic technologies on an ad hoc or planned basis.</w:t>
      </w:r>
      <w:r w:rsidDel="00000000" w:rsidR="00000000" w:rsidRPr="00000000">
        <w:rPr>
          <w:rtl w:val="0"/>
        </w:rPr>
      </w:r>
    </w:p>
    <w:p w:rsidR="00000000" w:rsidDel="00000000" w:rsidP="00000000" w:rsidRDefault="00000000" w:rsidRPr="00000000" w14:paraId="00000172">
      <w:pPr>
        <w:numPr>
          <w:ilvl w:val="3"/>
          <w:numId w:val="12"/>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This list is not exhaustive; a Buyer may request alternative cross training capabilities.</w:t>
      </w:r>
      <w:r w:rsidDel="00000000" w:rsidR="00000000" w:rsidRPr="00000000">
        <w:rPr>
          <w:rtl w:val="0"/>
        </w:rPr>
      </w:r>
    </w:p>
    <w:p w:rsidR="00000000" w:rsidDel="00000000" w:rsidP="00000000" w:rsidRDefault="00000000" w:rsidRPr="00000000" w14:paraId="00000173">
      <w:pPr>
        <w:tabs>
          <w:tab w:val="left" w:leader="none" w:pos="709"/>
          <w:tab w:val="left" w:leader="none" w:pos="1276"/>
        </w:tabs>
        <w:spacing w:line="240" w:lineRule="auto"/>
        <w:ind w:left="0" w:hanging="2"/>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74">
      <w:pPr>
        <w:numPr>
          <w:ilvl w:val="2"/>
          <w:numId w:val="12"/>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Call-Off Procedure</w:t>
      </w:r>
      <w:r w:rsidDel="00000000" w:rsidR="00000000" w:rsidRPr="00000000">
        <w:rPr>
          <w:rtl w:val="0"/>
        </w:rPr>
      </w:r>
    </w:p>
    <w:p w:rsidR="00000000" w:rsidDel="00000000" w:rsidP="00000000" w:rsidRDefault="00000000" w:rsidRPr="00000000" w14:paraId="00000175">
      <w:pPr>
        <w:numPr>
          <w:ilvl w:val="3"/>
          <w:numId w:val="12"/>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Award available via Further Competition Procedure or direct award.</w:t>
      </w:r>
      <w:r w:rsidDel="00000000" w:rsidR="00000000" w:rsidRPr="00000000">
        <w:rPr>
          <w:rtl w:val="0"/>
        </w:rPr>
      </w:r>
    </w:p>
    <w:p w:rsidR="00000000" w:rsidDel="00000000" w:rsidP="00000000" w:rsidRDefault="00000000" w:rsidRPr="00000000" w14:paraId="00000176">
      <w:pPr>
        <w:numPr>
          <w:ilvl w:val="3"/>
          <w:numId w:val="12"/>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maximum Call-Off Contract periods, including the initial term and any extensions, shall be:</w:t>
      </w:r>
      <w:r w:rsidDel="00000000" w:rsidR="00000000" w:rsidRPr="00000000">
        <w:rPr>
          <w:rtl w:val="0"/>
        </w:rPr>
      </w:r>
    </w:p>
    <w:p w:rsidR="00000000" w:rsidDel="00000000" w:rsidP="00000000" w:rsidRDefault="00000000" w:rsidRPr="00000000" w14:paraId="00000177">
      <w:pPr>
        <w:numPr>
          <w:ilvl w:val="4"/>
          <w:numId w:val="12"/>
        </w:numPr>
        <w:tabs>
          <w:tab w:val="left" w:leader="none" w:pos="709"/>
          <w:tab w:val="left" w:leader="none" w:pos="1276"/>
        </w:tabs>
        <w:spacing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  36 Months (3 calendar years) for Call-Off Contract Type 1 (Technical Academies)</w:t>
      </w:r>
      <w:r w:rsidDel="00000000" w:rsidR="00000000" w:rsidRPr="00000000">
        <w:rPr>
          <w:rtl w:val="0"/>
        </w:rPr>
      </w:r>
    </w:p>
    <w:p w:rsidR="00000000" w:rsidDel="00000000" w:rsidP="00000000" w:rsidRDefault="00000000" w:rsidRPr="00000000" w14:paraId="00000178">
      <w:pPr>
        <w:numPr>
          <w:ilvl w:val="4"/>
          <w:numId w:val="12"/>
        </w:numPr>
        <w:tabs>
          <w:tab w:val="left" w:leader="none" w:pos="709"/>
          <w:tab w:val="left" w:leader="none" w:pos="1276"/>
        </w:tabs>
        <w:spacing w:after="200" w:line="240" w:lineRule="auto"/>
        <w:ind w:left="0" w:hanging="2"/>
        <w:jc w:val="left"/>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  12 Months (1 calendar year) for Call-Off Contract Type 2 (Cross Training Capabilities)</w:t>
      </w:r>
      <w:r w:rsidDel="00000000" w:rsidR="00000000" w:rsidRPr="00000000">
        <w:rPr>
          <w:rtl w:val="0"/>
        </w:rPr>
      </w:r>
    </w:p>
    <w:p w:rsidR="00000000" w:rsidDel="00000000" w:rsidP="00000000" w:rsidRDefault="00000000" w:rsidRPr="00000000" w14:paraId="0000017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tabs>
          <w:tab w:val="left" w:leader="none" w:pos="709"/>
        </w:tabs>
        <w:spacing w:after="120" w:before="0" w:line="240" w:lineRule="auto"/>
        <w:ind w:left="720" w:right="0" w:hanging="360"/>
        <w:jc w:val="both"/>
        <w:rPr>
          <w:rFonts w:ascii="Calibri" w:cs="Calibri" w:eastAsia="Calibri" w:hAnsi="Calibri"/>
          <w:i w:val="0"/>
          <w:smallCaps w:val="0"/>
          <w:strike w:val="0"/>
          <w:color w:val="000000"/>
          <w:sz w:val="32"/>
          <w:szCs w:val="32"/>
          <w:shd w:fill="auto" w:val="clear"/>
        </w:rPr>
      </w:pPr>
      <w:r w:rsidDel="00000000" w:rsidR="00000000" w:rsidRPr="00000000">
        <w:br w:type="page"/>
      </w: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Contract Management (Buyer Organisation)</w:t>
      </w:r>
      <w:r w:rsidDel="00000000" w:rsidR="00000000" w:rsidRPr="00000000">
        <w:rPr>
          <w:rtl w:val="0"/>
        </w:rPr>
      </w:r>
    </w:p>
    <w:p w:rsidR="00000000" w:rsidDel="00000000" w:rsidP="00000000" w:rsidRDefault="00000000" w:rsidRPr="00000000" w14:paraId="0000017A">
      <w:pPr>
        <w:keepNext w:val="1"/>
        <w:numPr>
          <w:ilvl w:val="1"/>
          <w:numId w:val="10"/>
        </w:numPr>
        <w:shd w:fill="ffffff" w:val="clea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Buyer Organisation may instigate a contract management process - aligned to their internal policies. In these instances the following aspects may be included;</w:t>
      </w:r>
    </w:p>
    <w:p w:rsidR="00000000" w:rsidDel="00000000" w:rsidP="00000000" w:rsidRDefault="00000000" w:rsidRPr="00000000" w14:paraId="0000017B">
      <w:pPr>
        <w:keepNext w:val="1"/>
        <w:numPr>
          <w:ilvl w:val="2"/>
          <w:numId w:val="10"/>
        </w:numPr>
        <w:shd w:fill="ffffff" w:val="clear"/>
        <w:tabs>
          <w:tab w:val="left" w:leader="none" w:pos="709"/>
        </w:tabs>
        <w:spacing w:line="240" w:lineRule="auto"/>
        <w:ind w:left="0" w:hanging="2"/>
        <w:rPr>
          <w:color w:val="000000"/>
          <w:sz w:val="22"/>
          <w:szCs w:val="22"/>
        </w:rPr>
      </w:pPr>
      <w:r w:rsidDel="00000000" w:rsidR="00000000" w:rsidRPr="00000000">
        <w:rPr>
          <w:rFonts w:ascii="Calibri" w:cs="Calibri" w:eastAsia="Calibri" w:hAnsi="Calibri"/>
          <w:b w:val="1"/>
          <w:color w:val="000000"/>
          <w:sz w:val="22"/>
          <w:szCs w:val="22"/>
          <w:rtl w:val="0"/>
        </w:rPr>
        <w:t xml:space="preserve">Taxi Rank.</w:t>
      </w:r>
      <w:r w:rsidDel="00000000" w:rsidR="00000000" w:rsidRPr="00000000">
        <w:rPr>
          <w:rFonts w:ascii="Calibri" w:cs="Calibri" w:eastAsia="Calibri" w:hAnsi="Calibri"/>
          <w:color w:val="000000"/>
          <w:sz w:val="22"/>
          <w:szCs w:val="22"/>
          <w:rtl w:val="0"/>
        </w:rPr>
        <w:t xml:space="preserve"> The Process being operated as part of a buyer organisation’s contract management procedure when used in accordance with the procedures set out for direct award and/or mini-competition as set out in the tender documentation; </w:t>
      </w:r>
      <w:r w:rsidDel="00000000" w:rsidR="00000000" w:rsidRPr="00000000">
        <w:rPr>
          <w:rtl w:val="0"/>
        </w:rPr>
      </w:r>
    </w:p>
    <w:p w:rsidR="00000000" w:rsidDel="00000000" w:rsidP="00000000" w:rsidRDefault="00000000" w:rsidRPr="00000000" w14:paraId="0000017C">
      <w:pPr>
        <w:keepNext w:val="1"/>
        <w:numPr>
          <w:ilvl w:val="2"/>
          <w:numId w:val="10"/>
        </w:numPr>
        <w:shd w:fill="ffffff" w:val="clear"/>
        <w:tabs>
          <w:tab w:val="left" w:leader="none" w:pos="709"/>
        </w:tabs>
        <w:spacing w:line="240" w:lineRule="auto"/>
        <w:ind w:left="0" w:hanging="2"/>
        <w:rPr>
          <w:color w:val="000000"/>
          <w:sz w:val="22"/>
          <w:szCs w:val="22"/>
        </w:rPr>
      </w:pPr>
      <w:r w:rsidDel="00000000" w:rsidR="00000000" w:rsidRPr="00000000">
        <w:rPr>
          <w:rFonts w:ascii="Calibri" w:cs="Calibri" w:eastAsia="Calibri" w:hAnsi="Calibri"/>
          <w:b w:val="1"/>
          <w:color w:val="000000"/>
          <w:sz w:val="22"/>
          <w:szCs w:val="22"/>
          <w:rtl w:val="0"/>
        </w:rPr>
        <w:t xml:space="preserve">Minimum Workshare Commitment.</w:t>
      </w:r>
      <w:r w:rsidDel="00000000" w:rsidR="00000000" w:rsidRPr="00000000">
        <w:rPr>
          <w:rFonts w:ascii="Calibri" w:cs="Calibri" w:eastAsia="Calibri" w:hAnsi="Calibri"/>
          <w:color w:val="000000"/>
          <w:sz w:val="22"/>
          <w:szCs w:val="22"/>
          <w:rtl w:val="0"/>
        </w:rPr>
        <w:t xml:space="preserve"> The Buyer Organisation may, as documented in their own contract management documented processes use Minimum Workshare Commitment;</w:t>
      </w:r>
      <w:r w:rsidDel="00000000" w:rsidR="00000000" w:rsidRPr="00000000">
        <w:rPr>
          <w:rtl w:val="0"/>
        </w:rPr>
      </w:r>
    </w:p>
    <w:p w:rsidR="00000000" w:rsidDel="00000000" w:rsidP="00000000" w:rsidRDefault="00000000" w:rsidRPr="00000000" w14:paraId="0000017D">
      <w:pPr>
        <w:keepNext w:val="1"/>
        <w:numPr>
          <w:ilvl w:val="2"/>
          <w:numId w:val="10"/>
        </w:numPr>
        <w:shd w:fill="ffffff" w:val="clear"/>
        <w:tabs>
          <w:tab w:val="left" w:leader="none" w:pos="709"/>
        </w:tabs>
        <w:spacing w:line="240" w:lineRule="auto"/>
        <w:ind w:left="0" w:hanging="2"/>
        <w:rPr>
          <w:color w:val="000000"/>
          <w:sz w:val="22"/>
          <w:szCs w:val="22"/>
        </w:rPr>
      </w:pPr>
      <w:r w:rsidDel="00000000" w:rsidR="00000000" w:rsidRPr="00000000">
        <w:rPr>
          <w:rFonts w:ascii="Calibri" w:cs="Calibri" w:eastAsia="Calibri" w:hAnsi="Calibri"/>
          <w:b w:val="1"/>
          <w:color w:val="000000"/>
          <w:sz w:val="22"/>
          <w:szCs w:val="22"/>
          <w:rtl w:val="0"/>
        </w:rPr>
        <w:t xml:space="preserve">Performance management.</w:t>
      </w:r>
      <w:r w:rsidDel="00000000" w:rsidR="00000000" w:rsidRPr="00000000">
        <w:rPr>
          <w:rFonts w:ascii="Calibri" w:cs="Calibri" w:eastAsia="Calibri" w:hAnsi="Calibri"/>
          <w:color w:val="000000"/>
          <w:sz w:val="22"/>
          <w:szCs w:val="22"/>
          <w:rtl w:val="0"/>
        </w:rPr>
        <w:t xml:space="preserve"> The Buyer organisation may, as documented in their own contract management documented processes [for the Framework], [run a performance management process which may include assessing quality, availability, timeliness and costing accuracy]. Potential implications for poor performance may include temporary suspension from certain Buyer organisation processes, such as but not limited to direct award activity; </w:t>
      </w:r>
      <w:r w:rsidDel="00000000" w:rsidR="00000000" w:rsidRPr="00000000">
        <w:rPr>
          <w:rtl w:val="0"/>
        </w:rPr>
      </w:r>
    </w:p>
    <w:p w:rsidR="00000000" w:rsidDel="00000000" w:rsidP="00000000" w:rsidRDefault="00000000" w:rsidRPr="00000000" w14:paraId="0000017E">
      <w:pPr>
        <w:keepNext w:val="1"/>
        <w:numPr>
          <w:ilvl w:val="2"/>
          <w:numId w:val="10"/>
        </w:numPr>
        <w:shd w:fill="ffffff" w:val="clear"/>
        <w:tabs>
          <w:tab w:val="left" w:leader="none" w:pos="709"/>
        </w:tabs>
        <w:spacing w:line="240" w:lineRule="auto"/>
        <w:ind w:left="0" w:hanging="2"/>
        <w:rPr>
          <w:color w:val="000000"/>
          <w:sz w:val="22"/>
          <w:szCs w:val="22"/>
        </w:rPr>
      </w:pPr>
      <w:r w:rsidDel="00000000" w:rsidR="00000000" w:rsidRPr="00000000">
        <w:rPr>
          <w:rFonts w:ascii="Calibri" w:cs="Calibri" w:eastAsia="Calibri" w:hAnsi="Calibri"/>
          <w:b w:val="1"/>
          <w:color w:val="000000"/>
          <w:sz w:val="22"/>
          <w:szCs w:val="22"/>
          <w:rtl w:val="0"/>
        </w:rPr>
        <w:t xml:space="preserve">Minimum Revenue Commitment:</w:t>
      </w:r>
      <w:r w:rsidDel="00000000" w:rsidR="00000000" w:rsidRPr="00000000">
        <w:rPr>
          <w:rFonts w:ascii="Calibri" w:cs="Calibri" w:eastAsia="Calibri" w:hAnsi="Calibri"/>
          <w:color w:val="000000"/>
          <w:sz w:val="22"/>
          <w:szCs w:val="22"/>
          <w:rtl w:val="0"/>
        </w:rPr>
        <w:t xml:space="preserve"> The Buyer Organisation may, as documented in their own contract management documented processes, use Minimum Revenue Commitment; </w:t>
      </w:r>
      <w:r w:rsidDel="00000000" w:rsidR="00000000" w:rsidRPr="00000000">
        <w:rPr>
          <w:rtl w:val="0"/>
        </w:rPr>
      </w:r>
    </w:p>
    <w:p w:rsidR="00000000" w:rsidDel="00000000" w:rsidP="00000000" w:rsidRDefault="00000000" w:rsidRPr="00000000" w14:paraId="0000017F">
      <w:pPr>
        <w:keepNext w:val="1"/>
        <w:numPr>
          <w:ilvl w:val="2"/>
          <w:numId w:val="10"/>
        </w:numPr>
        <w:shd w:fill="ffffff" w:val="clear"/>
        <w:tabs>
          <w:tab w:val="left" w:leader="none" w:pos="709"/>
        </w:tabs>
        <w:spacing w:line="240" w:lineRule="auto"/>
        <w:ind w:left="0" w:hanging="2"/>
        <w:rPr>
          <w:color w:val="000000"/>
          <w:sz w:val="22"/>
          <w:szCs w:val="22"/>
        </w:rPr>
      </w:pPr>
      <w:r w:rsidDel="00000000" w:rsidR="00000000" w:rsidRPr="00000000">
        <w:rPr>
          <w:rFonts w:ascii="Calibri" w:cs="Calibri" w:eastAsia="Calibri" w:hAnsi="Calibri"/>
          <w:b w:val="1"/>
          <w:color w:val="000000"/>
          <w:sz w:val="22"/>
          <w:szCs w:val="22"/>
          <w:rtl w:val="0"/>
        </w:rPr>
        <w:t xml:space="preserve">Design Services Council:</w:t>
      </w:r>
      <w:r w:rsidDel="00000000" w:rsidR="00000000" w:rsidRPr="00000000">
        <w:rPr>
          <w:rFonts w:ascii="Calibri" w:cs="Calibri" w:eastAsia="Calibri" w:hAnsi="Calibri"/>
          <w:color w:val="000000"/>
          <w:sz w:val="22"/>
          <w:szCs w:val="22"/>
          <w:rtl w:val="0"/>
        </w:rPr>
        <w:t xml:space="preserve"> The Buyer organisation may, as documented in their own contract management documented processes run a Design Services Council for Framework Agreement Lot 1 Suppliers only.  Buyers will retain the right to appoint Framework Agreement Lot 1 Suppliers (on a voluntary basis) to a Design Services Council, which can provide ongoing advisory support and input to Buyer representatives on the efficacy and deliverability of new or innovative delivery proposals provided to the Buyer. Buying organisations will retain responsibility for creating processes to ensure effective operation of a Design Services Council, including prevention of conflicts of interest; and</w:t>
      </w:r>
    </w:p>
    <w:p w:rsidR="00000000" w:rsidDel="00000000" w:rsidP="00000000" w:rsidRDefault="00000000" w:rsidRPr="00000000" w14:paraId="00000180">
      <w:pPr>
        <w:keepNext w:val="1"/>
        <w:numPr>
          <w:ilvl w:val="2"/>
          <w:numId w:val="10"/>
        </w:numPr>
        <w:shd w:fill="ffffff" w:val="clear"/>
        <w:tabs>
          <w:tab w:val="left" w:leader="none" w:pos="709"/>
        </w:tabs>
        <w:spacing w:line="240" w:lineRule="auto"/>
        <w:ind w:left="0" w:hanging="2"/>
        <w:rPr>
          <w:color w:val="000000"/>
          <w:sz w:val="22"/>
          <w:szCs w:val="22"/>
        </w:rPr>
      </w:pPr>
      <w:r w:rsidDel="00000000" w:rsidR="00000000" w:rsidRPr="00000000">
        <w:rPr>
          <w:rFonts w:ascii="Calibri" w:cs="Calibri" w:eastAsia="Calibri" w:hAnsi="Calibri"/>
          <w:b w:val="1"/>
          <w:color w:val="000000"/>
          <w:sz w:val="22"/>
          <w:szCs w:val="22"/>
          <w:rtl w:val="0"/>
        </w:rPr>
        <w:t xml:space="preserve">Use of SMEs. </w:t>
      </w:r>
      <w:r w:rsidDel="00000000" w:rsidR="00000000" w:rsidRPr="00000000">
        <w:rPr>
          <w:rFonts w:ascii="Calibri" w:cs="Calibri" w:eastAsia="Calibri" w:hAnsi="Calibri"/>
          <w:color w:val="000000"/>
          <w:sz w:val="22"/>
          <w:szCs w:val="22"/>
          <w:rtl w:val="0"/>
        </w:rPr>
        <w:t xml:space="preserve">The Buyer organisation may, as documented in their own contract management documented processes, require Suppliers to comply with specific terms outlining the use of SMEs within their supply chain. </w:t>
      </w:r>
      <w:r w:rsidDel="00000000" w:rsidR="00000000" w:rsidRPr="00000000">
        <w:rPr>
          <w:rtl w:val="0"/>
        </w:rPr>
      </w:r>
    </w:p>
    <w:p w:rsidR="00000000" w:rsidDel="00000000" w:rsidP="00000000" w:rsidRDefault="00000000" w:rsidRPr="00000000" w14:paraId="00000181">
      <w:p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82">
      <w:pPr>
        <w:keepNext w:val="1"/>
        <w:shd w:fill="ffffff" w:val="clea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83">
      <w:pPr>
        <w:keepNext w:val="1"/>
        <w:numPr>
          <w:ilvl w:val="0"/>
          <w:numId w:val="1"/>
        </w:numPr>
        <w:shd w:fill="ffffff" w:val="clear"/>
        <w:tabs>
          <w:tab w:val="left" w:leader="none" w:pos="709"/>
        </w:tabs>
        <w:spacing w:line="240" w:lineRule="auto"/>
        <w:ind w:left="1" w:hanging="3"/>
        <w:rPr>
          <w:rFonts w:ascii="Calibri" w:cs="Calibri" w:eastAsia="Calibri" w:hAnsi="Calibri"/>
          <w:color w:val="000000"/>
          <w:sz w:val="32"/>
          <w:szCs w:val="32"/>
        </w:rPr>
      </w:pPr>
      <w:r w:rsidDel="00000000" w:rsidR="00000000" w:rsidRPr="00000000">
        <w:rPr>
          <w:rFonts w:ascii="Calibri" w:cs="Calibri" w:eastAsia="Calibri" w:hAnsi="Calibri"/>
          <w:b w:val="1"/>
          <w:color w:val="000000"/>
          <w:sz w:val="32"/>
          <w:szCs w:val="32"/>
          <w:rtl w:val="0"/>
        </w:rPr>
        <w:t xml:space="preserve">Ways of Working </w:t>
      </w:r>
      <w:r w:rsidDel="00000000" w:rsidR="00000000" w:rsidRPr="00000000">
        <w:rPr>
          <w:rtl w:val="0"/>
        </w:rPr>
      </w:r>
    </w:p>
    <w:p w:rsidR="00000000" w:rsidDel="00000000" w:rsidP="00000000" w:rsidRDefault="00000000" w:rsidRPr="00000000" w14:paraId="00000184">
      <w:pPr>
        <w:keepNext w:val="1"/>
        <w:numPr>
          <w:ilvl w:val="1"/>
          <w:numId w:val="1"/>
        </w:numPr>
        <w:shd w:fill="ffffff" w:val="clear"/>
        <w:tabs>
          <w:tab w:val="left" w:leader="none" w:pos="709"/>
        </w:tabs>
        <w:spacing w:line="240" w:lineRule="auto"/>
        <w:ind w:left="0" w:hanging="2"/>
        <w:rPr>
          <w:color w:val="000000"/>
          <w:sz w:val="22"/>
          <w:szCs w:val="22"/>
        </w:rPr>
      </w:pPr>
      <w:r w:rsidDel="00000000" w:rsidR="00000000" w:rsidRPr="00000000">
        <w:rPr>
          <w:rFonts w:ascii="Calibri" w:cs="Calibri" w:eastAsia="Calibri" w:hAnsi="Calibri"/>
          <w:b w:val="1"/>
          <w:color w:val="000000"/>
          <w:sz w:val="22"/>
          <w:szCs w:val="22"/>
          <w:rtl w:val="0"/>
        </w:rPr>
        <w:t xml:space="preserve">General </w:t>
      </w:r>
      <w:r w:rsidDel="00000000" w:rsidR="00000000" w:rsidRPr="00000000">
        <w:rPr>
          <w:rtl w:val="0"/>
        </w:rPr>
      </w:r>
    </w:p>
    <w:p w:rsidR="00000000" w:rsidDel="00000000" w:rsidP="00000000" w:rsidRDefault="00000000" w:rsidRPr="00000000" w14:paraId="00000185">
      <w:pPr>
        <w:numPr>
          <w:ilvl w:val="2"/>
          <w:numId w:val="1"/>
        </w:numPr>
        <w:tabs>
          <w:tab w:val="left" w:leader="none" w:pos="709"/>
          <w:tab w:val="left" w:leader="none" w:pos="705"/>
        </w:tabs>
        <w:spacing w:line="240" w:lineRule="auto"/>
        <w:ind w:left="0" w:hanging="2"/>
        <w:jc w:val="left"/>
        <w:rPr>
          <w:color w:val="000000"/>
          <w:sz w:val="22"/>
          <w:szCs w:val="22"/>
        </w:rPr>
      </w:pPr>
      <w:r w:rsidDel="00000000" w:rsidR="00000000" w:rsidRPr="00000000">
        <w:rPr>
          <w:rFonts w:ascii="Calibri" w:cs="Calibri" w:eastAsia="Calibri" w:hAnsi="Calibri"/>
          <w:color w:val="000000"/>
          <w:sz w:val="22"/>
          <w:szCs w:val="22"/>
          <w:rtl w:val="0"/>
        </w:rPr>
        <w:t xml:space="preserve">The Supplier must participate in Framework Contract management activities, for example, management meetings with CCS and/or </w:t>
      </w:r>
      <w:r w:rsidDel="00000000" w:rsidR="00000000" w:rsidRPr="00000000">
        <w:rPr>
          <w:rFonts w:ascii="Calibri" w:cs="Calibri" w:eastAsia="Calibri" w:hAnsi="Calibri"/>
          <w:color w:val="000000"/>
          <w:sz w:val="22"/>
          <w:szCs w:val="22"/>
          <w:highlight w:val="white"/>
          <w:rtl w:val="0"/>
        </w:rPr>
        <w:t xml:space="preserve">other parties as requested by CCS or Buyers from time to time</w:t>
      </w:r>
      <w:r w:rsidDel="00000000" w:rsidR="00000000" w:rsidRPr="00000000">
        <w:rPr>
          <w:rFonts w:ascii="Calibri" w:cs="Calibri" w:eastAsia="Calibri" w:hAnsi="Calibri"/>
          <w:color w:val="000000"/>
          <w:sz w:val="22"/>
          <w:szCs w:val="22"/>
          <w:rtl w:val="0"/>
        </w:rPr>
        <w:t xml:space="preserve"> in relation to this Framework Contract and their general public sector business. These would be at mutually agreed intervals, and based on the agreed SRM approach.</w:t>
      </w:r>
    </w:p>
    <w:p w:rsidR="00000000" w:rsidDel="00000000" w:rsidP="00000000" w:rsidRDefault="00000000" w:rsidRPr="00000000" w14:paraId="00000186">
      <w:pPr>
        <w:numPr>
          <w:ilvl w:val="2"/>
          <w:numId w:val="1"/>
        </w:numPr>
        <w:tabs>
          <w:tab w:val="left" w:leader="none" w:pos="709"/>
        </w:tabs>
        <w:spacing w:line="240" w:lineRule="auto"/>
        <w:ind w:left="0" w:hanging="2"/>
        <w:jc w:val="left"/>
        <w:rPr>
          <w:color w:val="000000"/>
          <w:sz w:val="22"/>
          <w:szCs w:val="22"/>
        </w:rPr>
      </w:pPr>
      <w:r w:rsidDel="00000000" w:rsidR="00000000" w:rsidRPr="00000000">
        <w:rPr>
          <w:rFonts w:ascii="Calibri" w:cs="Calibri" w:eastAsia="Calibri" w:hAnsi="Calibri"/>
          <w:color w:val="000000"/>
          <w:sz w:val="22"/>
          <w:szCs w:val="22"/>
          <w:rtl w:val="0"/>
        </w:rPr>
        <w:t xml:space="preserve">The Supplier must provide and maintain records and reports to show service levels achieved for the solution for each Customer, the frequency and content of which are to be agreed with the Buyer. This will include agreeing future requirements and developments, including innovation and continuous improvement plans aligned to the Buyer’s contract management processes. </w:t>
      </w:r>
    </w:p>
    <w:p w:rsidR="00000000" w:rsidDel="00000000" w:rsidP="00000000" w:rsidRDefault="00000000" w:rsidRPr="00000000" w14:paraId="00000187">
      <w:pPr>
        <w:numPr>
          <w:ilvl w:val="2"/>
          <w:numId w:val="1"/>
        </w:numPr>
        <w:tabs>
          <w:tab w:val="left" w:leader="none" w:pos="709"/>
        </w:tabs>
        <w:spacing w:line="240" w:lineRule="auto"/>
        <w:ind w:left="0" w:hanging="2"/>
        <w:jc w:val="left"/>
        <w:rPr>
          <w:color w:val="000000"/>
          <w:sz w:val="22"/>
          <w:szCs w:val="22"/>
        </w:rPr>
      </w:pPr>
      <w:r w:rsidDel="00000000" w:rsidR="00000000" w:rsidRPr="00000000">
        <w:rPr>
          <w:rFonts w:ascii="Calibri" w:cs="Calibri" w:eastAsia="Calibri" w:hAnsi="Calibri"/>
          <w:color w:val="000000"/>
          <w:sz w:val="22"/>
          <w:szCs w:val="22"/>
          <w:rtl w:val="0"/>
        </w:rPr>
        <w:t xml:space="preserve">The Supplier must provide all quotations in a manner that clearly demonstrates to the Buyers the different costs associated with their procurement, [software], services, on-going support and maintenance and any other costs and any limitations or assumptions that have been made in arriving at the proposed pricing. </w:t>
      </w:r>
    </w:p>
    <w:p w:rsidR="00000000" w:rsidDel="00000000" w:rsidP="00000000" w:rsidRDefault="00000000" w:rsidRPr="00000000" w14:paraId="00000188">
      <w:pPr>
        <w:numPr>
          <w:ilvl w:val="3"/>
          <w:numId w:val="1"/>
        </w:numPr>
        <w:tabs>
          <w:tab w:val="left" w:leader="none" w:pos="709"/>
          <w:tab w:val="left" w:leader="none" w:pos="705"/>
        </w:tabs>
        <w:spacing w:line="240" w:lineRule="auto"/>
        <w:ind w:left="0" w:hanging="2"/>
        <w:jc w:val="left"/>
        <w:rPr>
          <w:color w:val="000000"/>
          <w:sz w:val="22"/>
          <w:szCs w:val="22"/>
        </w:rPr>
      </w:pPr>
      <w:r w:rsidDel="00000000" w:rsidR="00000000" w:rsidRPr="00000000">
        <w:rPr>
          <w:rFonts w:ascii="Calibri" w:cs="Calibri" w:eastAsia="Calibri" w:hAnsi="Calibri"/>
          <w:color w:val="000000"/>
          <w:sz w:val="22"/>
          <w:szCs w:val="22"/>
          <w:rtl w:val="0"/>
        </w:rPr>
        <w:t xml:space="preserve">The Supplier must ensure software support and maintenance charges include all updates for changes to the taxation regime applied by HMRC, changes to law by legislators and changes in regulation by regulatory bodies. If the Supplier believes that an extraordinary charge is required to cover the cost for any changes, this may only be issued to Buyers with the Approval of CCS.</w:t>
      </w:r>
    </w:p>
    <w:p w:rsidR="00000000" w:rsidDel="00000000" w:rsidP="00000000" w:rsidRDefault="00000000" w:rsidRPr="00000000" w14:paraId="00000189">
      <w:pPr>
        <w:numPr>
          <w:ilvl w:val="3"/>
          <w:numId w:val="1"/>
        </w:numPr>
        <w:tabs>
          <w:tab w:val="left" w:leader="none" w:pos="709"/>
        </w:tabs>
        <w:spacing w:line="240" w:lineRule="auto"/>
        <w:ind w:left="0" w:hanging="2"/>
        <w:jc w:val="left"/>
        <w:rPr>
          <w:color w:val="000000"/>
          <w:sz w:val="22"/>
          <w:szCs w:val="22"/>
        </w:rPr>
      </w:pPr>
      <w:r w:rsidDel="00000000" w:rsidR="00000000" w:rsidRPr="00000000">
        <w:rPr>
          <w:rFonts w:ascii="Calibri" w:cs="Calibri" w:eastAsia="Calibri" w:hAnsi="Calibri"/>
          <w:color w:val="000000"/>
          <w:sz w:val="22"/>
          <w:szCs w:val="22"/>
          <w:rtl w:val="0"/>
        </w:rPr>
        <w:t xml:space="preserve">The Supplier must provide advice and assistance to Buyers seeking to reduce their costs through shared services, aggregated procurements or asset management.</w:t>
      </w:r>
    </w:p>
    <w:p w:rsidR="00000000" w:rsidDel="00000000" w:rsidP="00000000" w:rsidRDefault="00000000" w:rsidRPr="00000000" w14:paraId="0000018A">
      <w:pPr>
        <w:numPr>
          <w:ilvl w:val="3"/>
          <w:numId w:val="1"/>
        </w:numPr>
        <w:tabs>
          <w:tab w:val="left" w:leader="none" w:pos="709"/>
        </w:tabs>
        <w:spacing w:line="240" w:lineRule="auto"/>
        <w:ind w:left="0" w:hanging="2"/>
        <w:jc w:val="left"/>
        <w:rPr>
          <w:color w:val="000000"/>
          <w:sz w:val="22"/>
          <w:szCs w:val="22"/>
        </w:rPr>
      </w:pPr>
      <w:r w:rsidDel="00000000" w:rsidR="00000000" w:rsidRPr="00000000">
        <w:rPr>
          <w:rFonts w:ascii="Calibri" w:cs="Calibri" w:eastAsia="Calibri" w:hAnsi="Calibri"/>
          <w:color w:val="000000"/>
          <w:sz w:val="22"/>
          <w:szCs w:val="22"/>
          <w:rtl w:val="0"/>
        </w:rPr>
        <w:t xml:space="preserve">The Supplier must work with CCS to market and promote the Framework Contract to CCS’s customers. This may include and not be limited to, case studies from contracts awarded via the Framework Contract, marketing material, website pages and webinars, at frequencies mutually agreed between CCS and the Supplier. </w:t>
      </w:r>
    </w:p>
    <w:p w:rsidR="00000000" w:rsidDel="00000000" w:rsidP="00000000" w:rsidRDefault="00000000" w:rsidRPr="00000000" w14:paraId="0000018B">
      <w:pPr>
        <w:numPr>
          <w:ilvl w:val="3"/>
          <w:numId w:val="1"/>
        </w:numPr>
        <w:tabs>
          <w:tab w:val="left" w:leader="none" w:pos="709"/>
        </w:tabs>
        <w:spacing w:line="240" w:lineRule="auto"/>
        <w:ind w:left="0" w:hanging="2"/>
        <w:jc w:val="left"/>
        <w:rPr>
          <w:color w:val="000000"/>
          <w:sz w:val="22"/>
          <w:szCs w:val="22"/>
        </w:rPr>
      </w:pPr>
      <w:r w:rsidDel="00000000" w:rsidR="00000000" w:rsidRPr="00000000">
        <w:rPr>
          <w:rFonts w:ascii="Calibri" w:cs="Calibri" w:eastAsia="Calibri" w:hAnsi="Calibri"/>
          <w:color w:val="000000"/>
          <w:sz w:val="22"/>
          <w:szCs w:val="22"/>
          <w:rtl w:val="0"/>
        </w:rPr>
        <w:t xml:space="preserve">It is a clear expectation that the Suppliers shall invest in the establishment and maintenance of an ongoing relationship with the Buyer if requested.</w:t>
      </w:r>
    </w:p>
    <w:p w:rsidR="00000000" w:rsidDel="00000000" w:rsidP="00000000" w:rsidRDefault="00000000" w:rsidRPr="00000000" w14:paraId="0000018C">
      <w:pPr>
        <w:numPr>
          <w:ilvl w:val="3"/>
          <w:numId w:val="1"/>
        </w:numPr>
        <w:tabs>
          <w:tab w:val="left" w:leader="none" w:pos="709"/>
        </w:tabs>
        <w:ind w:left="0" w:hanging="2"/>
        <w:jc w:val="left"/>
        <w:rPr>
          <w:color w:val="000000"/>
          <w:sz w:val="22"/>
          <w:szCs w:val="22"/>
        </w:rPr>
      </w:pPr>
      <w:r w:rsidDel="00000000" w:rsidR="00000000" w:rsidRPr="00000000">
        <w:rPr>
          <w:rFonts w:ascii="Calibri" w:cs="Calibri" w:eastAsia="Calibri" w:hAnsi="Calibri"/>
          <w:color w:val="000000"/>
          <w:sz w:val="22"/>
          <w:szCs w:val="22"/>
          <w:rtl w:val="0"/>
        </w:rPr>
        <w:t xml:space="preserve">Suppliers shall meet the Buyer’s SLAs for timescales in providing impact responses, for signing Statements of Requirement and in the provision of resources following a signed Statement of Requirement.</w:t>
      </w:r>
    </w:p>
    <w:p w:rsidR="00000000" w:rsidDel="00000000" w:rsidP="00000000" w:rsidRDefault="00000000" w:rsidRPr="00000000" w14:paraId="0000018D">
      <w:pPr>
        <w:numPr>
          <w:ilvl w:val="3"/>
          <w:numId w:val="1"/>
        </w:numPr>
        <w:tabs>
          <w:tab w:val="left" w:leader="none" w:pos="709"/>
        </w:tabs>
        <w:spacing w:line="240" w:lineRule="auto"/>
        <w:ind w:left="0" w:hanging="2"/>
        <w:jc w:val="left"/>
        <w:rPr>
          <w:color w:val="000000"/>
          <w:sz w:val="22"/>
          <w:szCs w:val="22"/>
        </w:rPr>
      </w:pPr>
      <w:r w:rsidDel="00000000" w:rsidR="00000000" w:rsidRPr="00000000">
        <w:rPr>
          <w:rFonts w:ascii="Calibri" w:cs="Calibri" w:eastAsia="Calibri" w:hAnsi="Calibri"/>
          <w:color w:val="000000"/>
          <w:sz w:val="22"/>
          <w:szCs w:val="22"/>
          <w:rtl w:val="0"/>
        </w:rPr>
        <w:t xml:space="preserve">The Supplier will provide a thorough knowledge transfer following the completion of work. Where appropriate, the Supplier will also support the reduction of skills gaps to assist with the generation of intelligent in-house capabilities.</w:t>
      </w:r>
    </w:p>
    <w:p w:rsidR="00000000" w:rsidDel="00000000" w:rsidP="00000000" w:rsidRDefault="00000000" w:rsidRPr="00000000" w14:paraId="0000018E">
      <w:pPr>
        <w:numPr>
          <w:ilvl w:val="3"/>
          <w:numId w:val="1"/>
        </w:numPr>
        <w:tabs>
          <w:tab w:val="left" w:leader="none" w:pos="709"/>
        </w:tabs>
        <w:spacing w:line="240" w:lineRule="auto"/>
        <w:ind w:left="0" w:hanging="2"/>
        <w:jc w:val="left"/>
        <w:rPr>
          <w:color w:val="000000"/>
          <w:sz w:val="22"/>
          <w:szCs w:val="22"/>
        </w:rPr>
      </w:pPr>
      <w:r w:rsidDel="00000000" w:rsidR="00000000" w:rsidRPr="00000000">
        <w:rPr>
          <w:rFonts w:ascii="Calibri" w:cs="Calibri" w:eastAsia="Calibri" w:hAnsi="Calibri"/>
          <w:color w:val="000000"/>
          <w:sz w:val="22"/>
          <w:szCs w:val="22"/>
          <w:rtl w:val="0"/>
        </w:rPr>
        <w:t xml:space="preserve">Any Intellectual Property arising directly from work under </w:t>
      </w:r>
      <w:r w:rsidDel="00000000" w:rsidR="00000000" w:rsidRPr="00000000">
        <w:rPr>
          <w:rFonts w:ascii="Calibri" w:cs="Calibri" w:eastAsia="Calibri" w:hAnsi="Calibri"/>
          <w:color w:val="000000"/>
          <w:sz w:val="22"/>
          <w:szCs w:val="22"/>
          <w:highlight w:val="white"/>
          <w:rtl w:val="0"/>
        </w:rPr>
        <w:t xml:space="preserve">a Call-Off Contract placed via the </w:t>
      </w:r>
      <w:r w:rsidDel="00000000" w:rsidR="00000000" w:rsidRPr="00000000">
        <w:rPr>
          <w:rFonts w:ascii="Calibri" w:cs="Calibri" w:eastAsia="Calibri" w:hAnsi="Calibri"/>
          <w:color w:val="000000"/>
          <w:sz w:val="22"/>
          <w:szCs w:val="22"/>
          <w:rtl w:val="0"/>
        </w:rPr>
        <w:t xml:space="preserve">Framework Contract will be owned by and will remain with the relevant Buyer, as per our Core Terms.</w:t>
      </w:r>
    </w:p>
    <w:p w:rsidR="00000000" w:rsidDel="00000000" w:rsidP="00000000" w:rsidRDefault="00000000" w:rsidRPr="00000000" w14:paraId="0000018F">
      <w:pPr>
        <w:numPr>
          <w:ilvl w:val="3"/>
          <w:numId w:val="1"/>
        </w:numPr>
        <w:tabs>
          <w:tab w:val="left" w:leader="none" w:pos="709"/>
          <w:tab w:val="left" w:leader="none" w:pos="705"/>
        </w:tabs>
        <w:spacing w:line="240" w:lineRule="auto"/>
        <w:ind w:left="0" w:hanging="2"/>
        <w:jc w:val="left"/>
        <w:rPr>
          <w:color w:val="000000"/>
          <w:sz w:val="22"/>
          <w:szCs w:val="22"/>
        </w:rPr>
      </w:pPr>
      <w:r w:rsidDel="00000000" w:rsidR="00000000" w:rsidRPr="00000000">
        <w:rPr>
          <w:rFonts w:ascii="Calibri" w:cs="Calibri" w:eastAsia="Calibri" w:hAnsi="Calibri"/>
          <w:color w:val="000000"/>
          <w:sz w:val="22"/>
          <w:szCs w:val="22"/>
          <w:rtl w:val="0"/>
        </w:rPr>
        <w:t xml:space="preserve">On a rolling semi-annual basis the Authority and customers may jointly facilitate opportunities for Framework users to update pipelines and coordinate communication with Framework Suppliers to enable ongoing capacity planning on the part of Suppliers and the relevant contract management teams. </w:t>
      </w:r>
    </w:p>
    <w:p w:rsidR="00000000" w:rsidDel="00000000" w:rsidP="00000000" w:rsidRDefault="00000000" w:rsidRPr="00000000" w14:paraId="00000190">
      <w:pPr>
        <w:numPr>
          <w:ilvl w:val="2"/>
          <w:numId w:val="1"/>
        </w:numPr>
        <w:tabs>
          <w:tab w:val="left" w:leader="none" w:pos="709"/>
        </w:tabs>
        <w:spacing w:line="240" w:lineRule="auto"/>
        <w:ind w:left="0" w:hanging="2"/>
        <w:jc w:val="left"/>
        <w:rPr>
          <w:color w:val="000000"/>
          <w:sz w:val="22"/>
          <w:szCs w:val="22"/>
        </w:rPr>
      </w:pPr>
      <w:r w:rsidDel="00000000" w:rsidR="00000000" w:rsidRPr="00000000">
        <w:rPr>
          <w:rFonts w:ascii="Calibri" w:cs="Calibri" w:eastAsia="Calibri" w:hAnsi="Calibri"/>
          <w:color w:val="000000"/>
          <w:sz w:val="22"/>
          <w:szCs w:val="22"/>
          <w:rtl w:val="0"/>
        </w:rPr>
        <w:t xml:space="preserve">The Suppliers must proactively raise any capacity constraints preventing them from deploying resources at short notice.</w:t>
      </w:r>
    </w:p>
    <w:p w:rsidR="00000000" w:rsidDel="00000000" w:rsidP="00000000" w:rsidRDefault="00000000" w:rsidRPr="00000000" w14:paraId="00000191">
      <w:pPr>
        <w:tabs>
          <w:tab w:val="left" w:leader="none" w:pos="709"/>
        </w:tabs>
        <w:spacing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92">
      <w:pPr>
        <w:numPr>
          <w:ilvl w:val="1"/>
          <w:numId w:val="1"/>
        </w:numPr>
        <w:tabs>
          <w:tab w:val="left" w:leader="none" w:pos="709"/>
        </w:tabs>
        <w:spacing w:line="240" w:lineRule="auto"/>
        <w:ind w:left="0" w:hanging="2"/>
        <w:jc w:val="left"/>
        <w:rPr>
          <w:color w:val="000000"/>
          <w:sz w:val="22"/>
          <w:szCs w:val="22"/>
        </w:rPr>
      </w:pPr>
      <w:r w:rsidDel="00000000" w:rsidR="00000000" w:rsidRPr="00000000">
        <w:rPr>
          <w:rFonts w:ascii="Calibri" w:cs="Calibri" w:eastAsia="Calibri" w:hAnsi="Calibri"/>
          <w:b w:val="1"/>
          <w:color w:val="000000"/>
          <w:sz w:val="22"/>
          <w:szCs w:val="22"/>
          <w:rtl w:val="0"/>
        </w:rPr>
        <w:t xml:space="preserve">Service delivery methodologies</w:t>
      </w:r>
      <w:r w:rsidDel="00000000" w:rsidR="00000000" w:rsidRPr="00000000">
        <w:rPr>
          <w:rtl w:val="0"/>
        </w:rPr>
      </w:r>
    </w:p>
    <w:p w:rsidR="00000000" w:rsidDel="00000000" w:rsidP="00000000" w:rsidRDefault="00000000" w:rsidRPr="00000000" w14:paraId="00000193">
      <w:pPr>
        <w:numPr>
          <w:ilvl w:val="2"/>
          <w:numId w:val="1"/>
        </w:numPr>
        <w:shd w:fill="ffffff" w:val="clear"/>
        <w:tabs>
          <w:tab w:val="left" w:leader="none" w:pos="709"/>
        </w:tabs>
        <w:ind w:left="0" w:hanging="2"/>
        <w:rPr>
          <w:color w:val="000000"/>
          <w:sz w:val="22"/>
          <w:szCs w:val="22"/>
        </w:rPr>
      </w:pPr>
      <w:r w:rsidDel="00000000" w:rsidR="00000000" w:rsidRPr="00000000">
        <w:rPr>
          <w:rFonts w:ascii="Calibri" w:cs="Calibri" w:eastAsia="Calibri" w:hAnsi="Calibri"/>
          <w:color w:val="000000"/>
          <w:sz w:val="22"/>
          <w:szCs w:val="22"/>
          <w:rtl w:val="0"/>
        </w:rPr>
        <w:t xml:space="preserve">Where appropriate, the Supplier will typically be expected to adopt an agile development process, (using methodologies including ‘scrum’ and ‘kanban’) starting with user needs. The methodology will be outlined in the relevant Statement of Requirement. </w:t>
      </w:r>
    </w:p>
    <w:p w:rsidR="00000000" w:rsidDel="00000000" w:rsidP="00000000" w:rsidRDefault="00000000" w:rsidRPr="00000000" w14:paraId="00000194">
      <w:pPr>
        <w:numPr>
          <w:ilvl w:val="2"/>
          <w:numId w:val="1"/>
        </w:numPr>
        <w:shd w:fill="ffffff" w:val="clear"/>
        <w:tabs>
          <w:tab w:val="left" w:leader="none" w:pos="709"/>
        </w:tabs>
        <w:ind w:left="0" w:hanging="2"/>
        <w:rPr>
          <w:color w:val="000000"/>
          <w:sz w:val="22"/>
          <w:szCs w:val="22"/>
        </w:rPr>
      </w:pPr>
      <w:r w:rsidDel="00000000" w:rsidR="00000000" w:rsidRPr="00000000">
        <w:rPr>
          <w:rFonts w:ascii="Calibri" w:cs="Calibri" w:eastAsia="Calibri" w:hAnsi="Calibri"/>
          <w:color w:val="000000"/>
          <w:sz w:val="22"/>
          <w:szCs w:val="22"/>
          <w:rtl w:val="0"/>
        </w:rPr>
        <w:t xml:space="preserve">Waterfall development methodology can be used where it can be shown to better meet user needs and should be agreed in advance with the Buyer under a Statement of Requirement. </w:t>
      </w:r>
    </w:p>
    <w:p w:rsidR="00000000" w:rsidDel="00000000" w:rsidP="00000000" w:rsidRDefault="00000000" w:rsidRPr="00000000" w14:paraId="00000195">
      <w:pPr>
        <w:numPr>
          <w:ilvl w:val="2"/>
          <w:numId w:val="1"/>
        </w:numPr>
        <w:shd w:fill="ffffff" w:val="clear"/>
        <w:tabs>
          <w:tab w:val="left" w:leader="none" w:pos="709"/>
        </w:tabs>
        <w:ind w:left="0" w:hanging="2"/>
        <w:rPr>
          <w:color w:val="000000"/>
          <w:sz w:val="22"/>
          <w:szCs w:val="22"/>
        </w:rPr>
      </w:pPr>
      <w:r w:rsidDel="00000000" w:rsidR="00000000" w:rsidRPr="00000000">
        <w:rPr>
          <w:rFonts w:ascii="Calibri" w:cs="Calibri" w:eastAsia="Calibri" w:hAnsi="Calibri"/>
          <w:color w:val="000000"/>
          <w:sz w:val="22"/>
          <w:szCs w:val="22"/>
          <w:rtl w:val="0"/>
        </w:rPr>
        <w:t xml:space="preserve">In some circumstances both waterfall and agile methodologies may need to be used, and this shall be agreed between the Supplier and Buyer under the Statement(s) of Requirement. </w:t>
      </w:r>
    </w:p>
    <w:p w:rsidR="00000000" w:rsidDel="00000000" w:rsidP="00000000" w:rsidRDefault="00000000" w:rsidRPr="00000000" w14:paraId="00000196">
      <w:pPr>
        <w:keepNext w:val="1"/>
        <w:numPr>
          <w:ilvl w:val="2"/>
          <w:numId w:val="1"/>
        </w:numPr>
        <w:shd w:fill="ffffff" w:val="clear"/>
        <w:tabs>
          <w:tab w:val="left" w:leader="none" w:pos="709"/>
        </w:tabs>
        <w:spacing w:line="240" w:lineRule="auto"/>
        <w:ind w:left="0" w:hanging="2"/>
        <w:rPr>
          <w:color w:val="000000"/>
          <w:sz w:val="22"/>
          <w:szCs w:val="22"/>
        </w:rPr>
      </w:pPr>
      <w:r w:rsidDel="00000000" w:rsidR="00000000" w:rsidRPr="00000000">
        <w:rPr>
          <w:rFonts w:ascii="Calibri" w:cs="Calibri" w:eastAsia="Calibri" w:hAnsi="Calibri"/>
          <w:color w:val="000000"/>
          <w:sz w:val="22"/>
          <w:szCs w:val="22"/>
          <w:rtl w:val="0"/>
        </w:rPr>
        <w:t xml:space="preserve">At Statement of Requirement level, Suppliers will be required to work under any of the following accountability models.</w:t>
      </w:r>
    </w:p>
    <w:p w:rsidR="00000000" w:rsidDel="00000000" w:rsidP="00000000" w:rsidRDefault="00000000" w:rsidRPr="00000000" w14:paraId="00000197">
      <w:pPr>
        <w:keepNext w:val="1"/>
        <w:shd w:fill="ffffff" w:val="clear"/>
        <w:tabs>
          <w:tab w:val="left" w:leader="none" w:pos="709"/>
        </w:tabs>
        <w:spacing w:line="240" w:lineRule="auto"/>
        <w:ind w:left="0" w:firstLine="0"/>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98">
      <w:pPr>
        <w:keepNext w:val="1"/>
        <w:numPr>
          <w:ilvl w:val="1"/>
          <w:numId w:val="1"/>
        </w:numPr>
        <w:shd w:fill="ffffff" w:val="clear"/>
        <w:tabs>
          <w:tab w:val="left" w:leader="none" w:pos="709"/>
        </w:tabs>
        <w:spacing w:line="240" w:lineRule="auto"/>
        <w:ind w:left="0" w:hanging="2"/>
        <w:rPr>
          <w:color w:val="000000"/>
          <w:sz w:val="22"/>
          <w:szCs w:val="22"/>
        </w:rPr>
      </w:pPr>
      <w:r w:rsidDel="00000000" w:rsidR="00000000" w:rsidRPr="00000000">
        <w:rPr>
          <w:rFonts w:ascii="Calibri" w:cs="Calibri" w:eastAsia="Calibri" w:hAnsi="Calibri"/>
          <w:b w:val="1"/>
          <w:color w:val="000000"/>
          <w:sz w:val="22"/>
          <w:szCs w:val="22"/>
          <w:rtl w:val="0"/>
        </w:rPr>
        <w:t xml:space="preserve">Accountability Models</w:t>
      </w:r>
      <w:r w:rsidDel="00000000" w:rsidR="00000000" w:rsidRPr="00000000">
        <w:rPr>
          <w:rFonts w:ascii="Calibri" w:cs="Calibri" w:eastAsia="Calibri" w:hAnsi="Calibri"/>
          <w:color w:val="000000"/>
          <w:sz w:val="22"/>
          <w:szCs w:val="22"/>
          <w:rtl w:val="0"/>
        </w:rPr>
        <w:t xml:space="preserve">:</w:t>
      </w:r>
      <w:r w:rsidDel="00000000" w:rsidR="00000000" w:rsidRPr="00000000">
        <w:rPr>
          <w:rtl w:val="0"/>
        </w:rPr>
      </w:r>
    </w:p>
    <w:p w:rsidR="00000000" w:rsidDel="00000000" w:rsidP="00000000" w:rsidRDefault="00000000" w:rsidRPr="00000000" w14:paraId="00000199">
      <w:pPr>
        <w:keepNext w:val="1"/>
        <w:numPr>
          <w:ilvl w:val="2"/>
          <w:numId w:val="1"/>
        </w:numPr>
        <w:shd w:fill="ffffff" w:val="clear"/>
        <w:tabs>
          <w:tab w:val="left" w:leader="none" w:pos="709"/>
        </w:tabs>
        <w:spacing w:line="240" w:lineRule="auto"/>
        <w:ind w:left="0" w:hanging="2"/>
        <w:rPr>
          <w:color w:val="000000"/>
          <w:sz w:val="22"/>
          <w:szCs w:val="22"/>
        </w:rPr>
      </w:pPr>
      <w:r w:rsidDel="00000000" w:rsidR="00000000" w:rsidRPr="00000000">
        <w:rPr>
          <w:rFonts w:ascii="Calibri" w:cs="Calibri" w:eastAsia="Calibri" w:hAnsi="Calibri"/>
          <w:b w:val="1"/>
          <w:color w:val="000000"/>
          <w:sz w:val="22"/>
          <w:szCs w:val="22"/>
          <w:rtl w:val="0"/>
        </w:rPr>
        <w:t xml:space="preserve">Sole Responsibility:</w:t>
      </w:r>
      <w:r w:rsidDel="00000000" w:rsidR="00000000" w:rsidRPr="00000000">
        <w:rPr>
          <w:rFonts w:ascii="Calibri" w:cs="Calibri" w:eastAsia="Calibri" w:hAnsi="Calibri"/>
          <w:color w:val="000000"/>
          <w:sz w:val="22"/>
          <w:szCs w:val="22"/>
          <w:rtl w:val="0"/>
        </w:rPr>
        <w:t xml:space="preserve"> where the Supplier takes on board full responsibility to deliver the discrete Milestones identified. This is most closely aligned with the “outcomes” model under other Frameworks. The Supplier will be required to accept the full risk of delivery;</w:t>
      </w:r>
      <w:r w:rsidDel="00000000" w:rsidR="00000000" w:rsidRPr="00000000">
        <w:rPr>
          <w:rtl w:val="0"/>
        </w:rPr>
      </w:r>
    </w:p>
    <w:p w:rsidR="00000000" w:rsidDel="00000000" w:rsidP="00000000" w:rsidRDefault="00000000" w:rsidRPr="00000000" w14:paraId="0000019A">
      <w:pPr>
        <w:keepNext w:val="1"/>
        <w:numPr>
          <w:ilvl w:val="2"/>
          <w:numId w:val="1"/>
        </w:numPr>
        <w:shd w:fill="ffffff" w:val="clear"/>
        <w:tabs>
          <w:tab w:val="left" w:leader="none" w:pos="709"/>
        </w:tabs>
        <w:spacing w:line="240" w:lineRule="auto"/>
        <w:ind w:left="0" w:hanging="2"/>
        <w:rPr>
          <w:color w:val="000000"/>
          <w:sz w:val="22"/>
          <w:szCs w:val="22"/>
        </w:rPr>
      </w:pPr>
      <w:r w:rsidDel="00000000" w:rsidR="00000000" w:rsidRPr="00000000">
        <w:rPr>
          <w:rFonts w:ascii="Calibri" w:cs="Calibri" w:eastAsia="Calibri" w:hAnsi="Calibri"/>
          <w:b w:val="1"/>
          <w:color w:val="000000"/>
          <w:sz w:val="22"/>
          <w:szCs w:val="22"/>
          <w:highlight w:val="white"/>
          <w:rtl w:val="0"/>
        </w:rPr>
        <w:t xml:space="preserve">Lead Supplier Responsibility:</w:t>
      </w:r>
      <w:r w:rsidDel="00000000" w:rsidR="00000000" w:rsidRPr="00000000">
        <w:rPr>
          <w:rFonts w:ascii="Calibri" w:cs="Calibri" w:eastAsia="Calibri" w:hAnsi="Calibri"/>
          <w:color w:val="000000"/>
          <w:sz w:val="22"/>
          <w:szCs w:val="22"/>
          <w:highlight w:val="white"/>
          <w:rtl w:val="0"/>
        </w:rPr>
        <w:t xml:space="preserve"> The lead Supplier requirement exists on projects or programmes of work which will be delivered through statements of work covering products delivered by more than one Supplier and/or under more than one capability.  One statement of work will include the additional scope for taking the lead Supplier role. The lead Supplier responsibilities are the following:</w:t>
      </w:r>
      <w:r w:rsidDel="00000000" w:rsidR="00000000" w:rsidRPr="00000000">
        <w:rPr>
          <w:rtl w:val="0"/>
        </w:rPr>
      </w:r>
    </w:p>
    <w:p w:rsidR="00000000" w:rsidDel="00000000" w:rsidP="00000000" w:rsidRDefault="00000000" w:rsidRPr="00000000" w14:paraId="0000019B">
      <w:pPr>
        <w:numPr>
          <w:ilvl w:val="3"/>
          <w:numId w:val="1"/>
        </w:numPr>
        <w:shd w:fill="ffffff" w:val="clear"/>
        <w:tabs>
          <w:tab w:val="left" w:leader="none" w:pos="709"/>
          <w:tab w:val="left" w:leader="none" w:pos="-1451"/>
          <w:tab w:val="left" w:leader="none" w:pos="-1026"/>
        </w:tabs>
        <w:spacing w:line="240" w:lineRule="auto"/>
        <w:ind w:left="0" w:hanging="2"/>
        <w:rPr>
          <w:color w:val="000000"/>
          <w:sz w:val="22"/>
          <w:szCs w:val="22"/>
        </w:rPr>
      </w:pPr>
      <w:r w:rsidDel="00000000" w:rsidR="00000000" w:rsidRPr="00000000">
        <w:rPr>
          <w:rFonts w:ascii="Calibri" w:cs="Calibri" w:eastAsia="Calibri" w:hAnsi="Calibri"/>
          <w:color w:val="000000"/>
          <w:sz w:val="22"/>
          <w:szCs w:val="22"/>
          <w:rtl w:val="0"/>
        </w:rPr>
        <w:t xml:space="preserve">Creation and co-ordination of an overall delivery plan including dependencies between capabilities;</w:t>
      </w:r>
    </w:p>
    <w:p w:rsidR="00000000" w:rsidDel="00000000" w:rsidP="00000000" w:rsidRDefault="00000000" w:rsidRPr="00000000" w14:paraId="0000019C">
      <w:pPr>
        <w:numPr>
          <w:ilvl w:val="3"/>
          <w:numId w:val="1"/>
        </w:numPr>
        <w:shd w:fill="ffffff" w:val="clear"/>
        <w:tabs>
          <w:tab w:val="left" w:leader="none" w:pos="709"/>
          <w:tab w:val="left" w:leader="none" w:pos="-1451"/>
          <w:tab w:val="left" w:leader="none" w:pos="-1026"/>
        </w:tabs>
        <w:spacing w:line="240" w:lineRule="auto"/>
        <w:ind w:left="0" w:hanging="2"/>
        <w:rPr>
          <w:color w:val="000000"/>
          <w:sz w:val="22"/>
          <w:szCs w:val="22"/>
        </w:rPr>
      </w:pPr>
      <w:r w:rsidDel="00000000" w:rsidR="00000000" w:rsidRPr="00000000">
        <w:rPr>
          <w:rFonts w:ascii="Calibri" w:cs="Calibri" w:eastAsia="Calibri" w:hAnsi="Calibri"/>
          <w:color w:val="000000"/>
          <w:sz w:val="22"/>
          <w:szCs w:val="22"/>
          <w:rtl w:val="0"/>
        </w:rPr>
        <w:t xml:space="preserve">Overall knowledge transition and knowledge capture plan;</w:t>
      </w:r>
    </w:p>
    <w:p w:rsidR="00000000" w:rsidDel="00000000" w:rsidP="00000000" w:rsidRDefault="00000000" w:rsidRPr="00000000" w14:paraId="0000019D">
      <w:pPr>
        <w:numPr>
          <w:ilvl w:val="3"/>
          <w:numId w:val="1"/>
        </w:numPr>
        <w:shd w:fill="ffffff" w:val="clear"/>
        <w:tabs>
          <w:tab w:val="left" w:leader="none" w:pos="709"/>
          <w:tab w:val="left" w:leader="none" w:pos="-1451"/>
          <w:tab w:val="left" w:leader="none" w:pos="-1026"/>
        </w:tabs>
        <w:spacing w:line="240" w:lineRule="auto"/>
        <w:ind w:left="0" w:hanging="2"/>
        <w:rPr>
          <w:color w:val="000000"/>
          <w:sz w:val="22"/>
          <w:szCs w:val="22"/>
        </w:rPr>
      </w:pPr>
      <w:r w:rsidDel="00000000" w:rsidR="00000000" w:rsidRPr="00000000">
        <w:rPr>
          <w:rFonts w:ascii="Calibri" w:cs="Calibri" w:eastAsia="Calibri" w:hAnsi="Calibri"/>
          <w:color w:val="000000"/>
          <w:sz w:val="22"/>
          <w:szCs w:val="22"/>
          <w:rtl w:val="0"/>
        </w:rPr>
        <w:t xml:space="preserve">Production and issue of weekly summary status report;</w:t>
      </w:r>
    </w:p>
    <w:p w:rsidR="00000000" w:rsidDel="00000000" w:rsidP="00000000" w:rsidRDefault="00000000" w:rsidRPr="00000000" w14:paraId="0000019E">
      <w:pPr>
        <w:numPr>
          <w:ilvl w:val="3"/>
          <w:numId w:val="1"/>
        </w:numPr>
        <w:shd w:fill="ffffff" w:val="clear"/>
        <w:tabs>
          <w:tab w:val="left" w:leader="none" w:pos="709"/>
          <w:tab w:val="left" w:leader="none" w:pos="-1451"/>
          <w:tab w:val="left" w:leader="none" w:pos="-1026"/>
        </w:tabs>
        <w:spacing w:line="240" w:lineRule="auto"/>
        <w:ind w:left="0" w:hanging="2"/>
        <w:rPr>
          <w:color w:val="000000"/>
          <w:sz w:val="22"/>
          <w:szCs w:val="22"/>
        </w:rPr>
      </w:pPr>
      <w:r w:rsidDel="00000000" w:rsidR="00000000" w:rsidRPr="00000000">
        <w:rPr>
          <w:rFonts w:ascii="Calibri" w:cs="Calibri" w:eastAsia="Calibri" w:hAnsi="Calibri"/>
          <w:color w:val="000000"/>
          <w:sz w:val="22"/>
          <w:szCs w:val="22"/>
          <w:rtl w:val="0"/>
        </w:rPr>
        <w:t xml:space="preserve">Attendance at change approval boards;</w:t>
      </w:r>
    </w:p>
    <w:p w:rsidR="00000000" w:rsidDel="00000000" w:rsidP="00000000" w:rsidRDefault="00000000" w:rsidRPr="00000000" w14:paraId="0000019F">
      <w:pPr>
        <w:numPr>
          <w:ilvl w:val="3"/>
          <w:numId w:val="1"/>
        </w:numPr>
        <w:shd w:fill="ffffff" w:val="clear"/>
        <w:tabs>
          <w:tab w:val="left" w:leader="none" w:pos="709"/>
          <w:tab w:val="left" w:leader="none" w:pos="-1451"/>
          <w:tab w:val="left" w:leader="none" w:pos="-1026"/>
        </w:tabs>
        <w:spacing w:line="240" w:lineRule="auto"/>
        <w:ind w:left="0" w:hanging="2"/>
        <w:rPr>
          <w:color w:val="000000"/>
          <w:sz w:val="22"/>
          <w:szCs w:val="22"/>
        </w:rPr>
      </w:pPr>
      <w:r w:rsidDel="00000000" w:rsidR="00000000" w:rsidRPr="00000000">
        <w:rPr>
          <w:rFonts w:ascii="Calibri" w:cs="Calibri" w:eastAsia="Calibri" w:hAnsi="Calibri"/>
          <w:color w:val="000000"/>
          <w:sz w:val="22"/>
          <w:szCs w:val="22"/>
          <w:rtl w:val="0"/>
        </w:rPr>
        <w:t xml:space="preserve">Co-ordination of the security approvals process; and</w:t>
      </w:r>
    </w:p>
    <w:p w:rsidR="00000000" w:rsidDel="00000000" w:rsidP="00000000" w:rsidRDefault="00000000" w:rsidRPr="00000000" w14:paraId="000001A0">
      <w:pPr>
        <w:numPr>
          <w:ilvl w:val="3"/>
          <w:numId w:val="1"/>
        </w:numPr>
        <w:shd w:fill="ffffff" w:val="clear"/>
        <w:tabs>
          <w:tab w:val="left" w:leader="none" w:pos="709"/>
          <w:tab w:val="left" w:leader="none" w:pos="-1451"/>
          <w:tab w:val="left" w:leader="none" w:pos="-1026"/>
        </w:tabs>
        <w:spacing w:line="240" w:lineRule="auto"/>
        <w:ind w:left="0" w:hanging="2"/>
        <w:rPr>
          <w:color w:val="000000"/>
          <w:sz w:val="22"/>
          <w:szCs w:val="22"/>
        </w:rPr>
      </w:pPr>
      <w:r w:rsidDel="00000000" w:rsidR="00000000" w:rsidRPr="00000000">
        <w:rPr>
          <w:rFonts w:ascii="Calibri" w:cs="Calibri" w:eastAsia="Calibri" w:hAnsi="Calibri"/>
          <w:color w:val="000000"/>
          <w:sz w:val="22"/>
          <w:szCs w:val="22"/>
          <w:rtl w:val="0"/>
        </w:rPr>
        <w:t xml:space="preserve">Co-ordination of live service acceptance.</w:t>
      </w:r>
    </w:p>
    <w:p w:rsidR="00000000" w:rsidDel="00000000" w:rsidP="00000000" w:rsidRDefault="00000000" w:rsidRPr="00000000" w14:paraId="000001A1">
      <w:pPr>
        <w:numPr>
          <w:ilvl w:val="2"/>
          <w:numId w:val="1"/>
        </w:numPr>
        <w:shd w:fill="ffffff" w:val="clear"/>
        <w:tabs>
          <w:tab w:val="left" w:leader="none" w:pos="709"/>
          <w:tab w:val="left" w:leader="none" w:pos="-1451"/>
          <w:tab w:val="left" w:leader="none" w:pos="-1026"/>
        </w:tabs>
        <w:spacing w:line="240" w:lineRule="auto"/>
        <w:ind w:left="0" w:hanging="2"/>
        <w:rPr>
          <w:color w:val="000000"/>
          <w:sz w:val="22"/>
          <w:szCs w:val="22"/>
        </w:rPr>
      </w:pPr>
      <w:r w:rsidDel="00000000" w:rsidR="00000000" w:rsidRPr="00000000">
        <w:rPr>
          <w:rFonts w:ascii="Calibri" w:cs="Calibri" w:eastAsia="Calibri" w:hAnsi="Calibri"/>
          <w:b w:val="1"/>
          <w:color w:val="000000"/>
          <w:sz w:val="22"/>
          <w:szCs w:val="22"/>
          <w:rtl w:val="0"/>
        </w:rPr>
        <w:t xml:space="preserve">Self-Directed Teams:</w:t>
      </w:r>
      <w:r w:rsidDel="00000000" w:rsidR="00000000" w:rsidRPr="00000000">
        <w:rPr>
          <w:rFonts w:ascii="Calibri" w:cs="Calibri" w:eastAsia="Calibri" w:hAnsi="Calibri"/>
          <w:color w:val="000000"/>
          <w:sz w:val="22"/>
          <w:szCs w:val="22"/>
          <w:rtl w:val="0"/>
        </w:rPr>
        <w:t xml:space="preserve"> where the Supplier provides discreet delivery teams to produce Deliverables as commissioned by the Buyer. This model lends itself to Buyer-led agile development where the specific Deliverable increment is agreed closer to the point of delivery but where some risk is carried by the Supplier; or</w:t>
      </w:r>
      <w:r w:rsidDel="00000000" w:rsidR="00000000" w:rsidRPr="00000000">
        <w:rPr>
          <w:rtl w:val="0"/>
        </w:rPr>
      </w:r>
    </w:p>
    <w:p w:rsidR="00000000" w:rsidDel="00000000" w:rsidP="00000000" w:rsidRDefault="00000000" w:rsidRPr="00000000" w14:paraId="000001A2">
      <w:pPr>
        <w:numPr>
          <w:ilvl w:val="2"/>
          <w:numId w:val="1"/>
        </w:numPr>
        <w:shd w:fill="ffffff" w:val="clear"/>
        <w:tabs>
          <w:tab w:val="left" w:leader="none" w:pos="709"/>
          <w:tab w:val="left" w:leader="none" w:pos="-1451"/>
          <w:tab w:val="left" w:leader="none" w:pos="-1026"/>
        </w:tabs>
        <w:spacing w:line="240" w:lineRule="auto"/>
        <w:ind w:left="0" w:hanging="2"/>
        <w:rPr>
          <w:color w:val="000000"/>
          <w:sz w:val="22"/>
          <w:szCs w:val="22"/>
        </w:rPr>
      </w:pPr>
      <w:r w:rsidDel="00000000" w:rsidR="00000000" w:rsidRPr="00000000">
        <w:rPr>
          <w:rFonts w:ascii="Calibri" w:cs="Calibri" w:eastAsia="Calibri" w:hAnsi="Calibri"/>
          <w:b w:val="1"/>
          <w:color w:val="000000"/>
          <w:sz w:val="22"/>
          <w:szCs w:val="22"/>
          <w:rtl w:val="0"/>
        </w:rPr>
        <w:t xml:space="preserve">Rainbow Teams:</w:t>
      </w:r>
      <w:r w:rsidDel="00000000" w:rsidR="00000000" w:rsidRPr="00000000">
        <w:rPr>
          <w:rFonts w:ascii="Calibri" w:cs="Calibri" w:eastAsia="Calibri" w:hAnsi="Calibri"/>
          <w:color w:val="000000"/>
          <w:sz w:val="22"/>
          <w:szCs w:val="22"/>
          <w:rtl w:val="0"/>
        </w:rPr>
        <w:t xml:space="preserve"> where the Supplier (or possibly more than one Supplier) provides a squad of individuals to work alongside Buyer staff. In this model individuals, whilst managed at a high level by the Supplier, may well be directed at an operational level by someone from another organisation.</w:t>
      </w:r>
      <w:r w:rsidDel="00000000" w:rsidR="00000000" w:rsidRPr="00000000">
        <w:rPr>
          <w:rtl w:val="0"/>
        </w:rPr>
      </w:r>
    </w:p>
    <w:p w:rsidR="00000000" w:rsidDel="00000000" w:rsidP="00000000" w:rsidRDefault="00000000" w:rsidRPr="00000000" w14:paraId="000001A3">
      <w:pPr>
        <w:shd w:fill="ffffff" w:val="clear"/>
        <w:tabs>
          <w:tab w:val="left" w:leader="none" w:pos="709"/>
          <w:tab w:val="left" w:leader="none" w:pos="-1451"/>
          <w:tab w:val="left" w:leader="none" w:pos="-1026"/>
        </w:tabs>
        <w:spacing w:line="240" w:lineRule="auto"/>
        <w:ind w:left="0" w:firstLine="0"/>
        <w:rPr>
          <w:color w:val="000000"/>
          <w:sz w:val="22"/>
          <w:szCs w:val="22"/>
        </w:rPr>
      </w:pPr>
      <w:r w:rsidDel="00000000" w:rsidR="00000000" w:rsidRPr="00000000">
        <w:rPr>
          <w:rtl w:val="0"/>
        </w:rPr>
      </w:r>
    </w:p>
    <w:p w:rsidR="00000000" w:rsidDel="00000000" w:rsidP="00000000" w:rsidRDefault="00000000" w:rsidRPr="00000000" w14:paraId="000001A4">
      <w:pPr>
        <w:numPr>
          <w:ilvl w:val="1"/>
          <w:numId w:val="1"/>
        </w:numPr>
        <w:shd w:fill="ffffff" w:val="clear"/>
        <w:tabs>
          <w:tab w:val="left" w:leader="none" w:pos="709"/>
          <w:tab w:val="left" w:leader="none" w:pos="-1451"/>
          <w:tab w:val="left" w:leader="none" w:pos="-1026"/>
        </w:tabs>
        <w:spacing w:line="240" w:lineRule="auto"/>
        <w:ind w:left="0" w:hanging="2"/>
        <w:rPr>
          <w:color w:val="000000"/>
          <w:sz w:val="22"/>
          <w:szCs w:val="22"/>
        </w:rPr>
      </w:pPr>
      <w:r w:rsidDel="00000000" w:rsidR="00000000" w:rsidRPr="00000000">
        <w:rPr>
          <w:rFonts w:ascii="Calibri" w:cs="Calibri" w:eastAsia="Calibri" w:hAnsi="Calibri"/>
          <w:b w:val="1"/>
          <w:color w:val="000000"/>
          <w:sz w:val="22"/>
          <w:szCs w:val="22"/>
          <w:rtl w:val="0"/>
        </w:rPr>
        <w:t xml:space="preserve">Pricing models</w:t>
      </w:r>
      <w:r w:rsidDel="00000000" w:rsidR="00000000" w:rsidRPr="00000000">
        <w:rPr>
          <w:rtl w:val="0"/>
        </w:rPr>
      </w:r>
    </w:p>
    <w:p w:rsidR="00000000" w:rsidDel="00000000" w:rsidP="00000000" w:rsidRDefault="00000000" w:rsidRPr="00000000" w14:paraId="000001A5">
      <w:pPr>
        <w:numPr>
          <w:ilvl w:val="2"/>
          <w:numId w:val="1"/>
        </w:numPr>
        <w:shd w:fill="ffffff" w:val="clear"/>
        <w:tabs>
          <w:tab w:val="left" w:leader="none" w:pos="709"/>
          <w:tab w:val="left" w:leader="none" w:pos="-1451"/>
          <w:tab w:val="left" w:leader="none" w:pos="-1026"/>
        </w:tabs>
        <w:spacing w:line="240" w:lineRule="auto"/>
        <w:ind w:left="0" w:hanging="2"/>
        <w:rPr>
          <w:color w:val="000000"/>
          <w:sz w:val="22"/>
          <w:szCs w:val="22"/>
        </w:rPr>
      </w:pPr>
      <w:r w:rsidDel="00000000" w:rsidR="00000000" w:rsidRPr="00000000">
        <w:rPr>
          <w:rFonts w:ascii="Calibri" w:cs="Calibri" w:eastAsia="Calibri" w:hAnsi="Calibri"/>
          <w:color w:val="000000"/>
          <w:sz w:val="22"/>
          <w:szCs w:val="22"/>
          <w:rtl w:val="0"/>
        </w:rPr>
        <w:t xml:space="preserve">To some extent aligned with the above accountability models (but not exclusively so), Suppliers will be expected to operate under different pricing models at Statement of Requirement level. Below are a number of optional approaches available in this Framework:</w:t>
      </w:r>
    </w:p>
    <w:p w:rsidR="00000000" w:rsidDel="00000000" w:rsidP="00000000" w:rsidRDefault="00000000" w:rsidRPr="00000000" w14:paraId="000001A6">
      <w:pPr>
        <w:numPr>
          <w:ilvl w:val="3"/>
          <w:numId w:val="1"/>
        </w:numPr>
        <w:shd w:fill="ffffff" w:val="clear"/>
        <w:tabs>
          <w:tab w:val="left" w:leader="none" w:pos="709"/>
          <w:tab w:val="left" w:leader="none" w:pos="1134"/>
        </w:tabs>
        <w:spacing w:line="240" w:lineRule="auto"/>
        <w:ind w:left="0" w:hanging="2"/>
        <w:rPr>
          <w:color w:val="000000"/>
          <w:sz w:val="22"/>
          <w:szCs w:val="22"/>
        </w:rPr>
      </w:pPr>
      <w:r w:rsidDel="00000000" w:rsidR="00000000" w:rsidRPr="00000000">
        <w:rPr>
          <w:rFonts w:ascii="Calibri" w:cs="Calibri" w:eastAsia="Calibri" w:hAnsi="Calibri"/>
          <w:b w:val="1"/>
          <w:color w:val="000000"/>
          <w:sz w:val="22"/>
          <w:szCs w:val="22"/>
          <w:rtl w:val="0"/>
        </w:rPr>
        <w:t xml:space="preserve">Time and Materials </w:t>
      </w:r>
      <w:r w:rsidDel="00000000" w:rsidR="00000000" w:rsidRPr="00000000">
        <w:rPr>
          <w:rFonts w:ascii="Calibri" w:cs="Calibri" w:eastAsia="Calibri" w:hAnsi="Calibri"/>
          <w:color w:val="000000"/>
          <w:sz w:val="22"/>
          <w:szCs w:val="22"/>
          <w:rtl w:val="0"/>
        </w:rPr>
        <w:t xml:space="preserve">(using maximum Day Rates or direct award); a pricing mechanism whereby the Buyer agrees to pay the Supplier for the work performed by Supplier Staff and for the materials used in the project based on pre-agreed rate cards and material disclosures and subject to time approval;</w:t>
      </w:r>
      <w:r w:rsidDel="00000000" w:rsidR="00000000" w:rsidRPr="00000000">
        <w:rPr>
          <w:rtl w:val="0"/>
        </w:rPr>
      </w:r>
    </w:p>
    <w:p w:rsidR="00000000" w:rsidDel="00000000" w:rsidP="00000000" w:rsidRDefault="00000000" w:rsidRPr="00000000" w14:paraId="000001A7">
      <w:pPr>
        <w:numPr>
          <w:ilvl w:val="3"/>
          <w:numId w:val="1"/>
        </w:numPr>
        <w:shd w:fill="ffffff" w:val="clear"/>
        <w:tabs>
          <w:tab w:val="left" w:leader="none" w:pos="709"/>
          <w:tab w:val="left" w:leader="none" w:pos="1134"/>
        </w:tabs>
        <w:ind w:left="0" w:hanging="2"/>
        <w:rPr>
          <w:color w:val="000000"/>
          <w:sz w:val="22"/>
          <w:szCs w:val="22"/>
        </w:rPr>
      </w:pPr>
      <w:r w:rsidDel="00000000" w:rsidR="00000000" w:rsidRPr="00000000">
        <w:rPr>
          <w:rFonts w:ascii="Calibri" w:cs="Calibri" w:eastAsia="Calibri" w:hAnsi="Calibri"/>
          <w:b w:val="1"/>
          <w:color w:val="000000"/>
          <w:sz w:val="22"/>
          <w:szCs w:val="22"/>
          <w:rtl w:val="0"/>
        </w:rPr>
        <w:t xml:space="preserve">Fixed Price </w:t>
      </w:r>
      <w:r w:rsidDel="00000000" w:rsidR="00000000" w:rsidRPr="00000000">
        <w:rPr>
          <w:rFonts w:ascii="Calibri" w:cs="Calibri" w:eastAsia="Calibri" w:hAnsi="Calibri"/>
          <w:color w:val="000000"/>
          <w:sz w:val="22"/>
          <w:szCs w:val="22"/>
          <w:rtl w:val="0"/>
        </w:rPr>
        <w:t xml:space="preserve">(based on Statement of Requirement)</w:t>
      </w:r>
      <w:r w:rsidDel="00000000" w:rsidR="00000000" w:rsidRPr="00000000">
        <w:rPr>
          <w:rFonts w:ascii="Calibri" w:cs="Calibri" w:eastAsia="Calibri" w:hAnsi="Calibri"/>
          <w:b w:val="1"/>
          <w:color w:val="000000"/>
          <w:sz w:val="22"/>
          <w:szCs w:val="22"/>
          <w:rtl w:val="0"/>
        </w:rPr>
        <w:t xml:space="preserve">; </w:t>
      </w:r>
      <w:r w:rsidDel="00000000" w:rsidR="00000000" w:rsidRPr="00000000">
        <w:rPr>
          <w:rFonts w:ascii="Calibri" w:cs="Calibri" w:eastAsia="Calibri" w:hAnsi="Calibri"/>
          <w:color w:val="000000"/>
          <w:sz w:val="22"/>
          <w:szCs w:val="22"/>
          <w:rtl w:val="0"/>
        </w:rPr>
        <w:t xml:space="preserve">a pricing mechanism whereby the Buyer agrees to pay the Supplier based on a capped price that shall cover all work performed and Deliverables required to be provided by the Supplier Staff and all materials used in the project, no matter how much work is required to complete each identified Deliverable within the agreed scope;</w:t>
      </w:r>
      <w:r w:rsidDel="00000000" w:rsidR="00000000" w:rsidRPr="00000000">
        <w:rPr>
          <w:rFonts w:ascii="Calibri" w:cs="Calibri" w:eastAsia="Calibri" w:hAnsi="Calibri"/>
          <w:b w:val="1"/>
          <w:color w:val="000000"/>
          <w:sz w:val="22"/>
          <w:szCs w:val="22"/>
          <w:rtl w:val="0"/>
        </w:rPr>
        <w:t xml:space="preserve"> </w:t>
      </w:r>
      <w:r w:rsidDel="00000000" w:rsidR="00000000" w:rsidRPr="00000000">
        <w:rPr>
          <w:rFonts w:ascii="Calibri" w:cs="Calibri" w:eastAsia="Calibri" w:hAnsi="Calibri"/>
          <w:color w:val="000000"/>
          <w:sz w:val="22"/>
          <w:szCs w:val="22"/>
          <w:rtl w:val="0"/>
        </w:rPr>
        <w:t xml:space="preserve">or</w:t>
      </w:r>
      <w:r w:rsidDel="00000000" w:rsidR="00000000" w:rsidRPr="00000000">
        <w:rPr>
          <w:rtl w:val="0"/>
        </w:rPr>
      </w:r>
    </w:p>
    <w:p w:rsidR="00000000" w:rsidDel="00000000" w:rsidP="00000000" w:rsidRDefault="00000000" w:rsidRPr="00000000" w14:paraId="000001A8">
      <w:pPr>
        <w:numPr>
          <w:ilvl w:val="3"/>
          <w:numId w:val="1"/>
        </w:numPr>
        <w:shd w:fill="ffffff" w:val="clear"/>
        <w:tabs>
          <w:tab w:val="left" w:leader="none" w:pos="709"/>
          <w:tab w:val="left" w:leader="none" w:pos="1134"/>
        </w:tabs>
        <w:ind w:left="0" w:hanging="2"/>
        <w:rPr>
          <w:color w:val="000000"/>
          <w:sz w:val="22"/>
          <w:szCs w:val="22"/>
        </w:rPr>
      </w:pPr>
      <w:r w:rsidDel="00000000" w:rsidR="00000000" w:rsidRPr="00000000">
        <w:rPr>
          <w:rFonts w:ascii="Calibri" w:cs="Calibri" w:eastAsia="Calibri" w:hAnsi="Calibri"/>
          <w:b w:val="1"/>
          <w:color w:val="000000"/>
          <w:sz w:val="22"/>
          <w:szCs w:val="22"/>
          <w:rtl w:val="0"/>
        </w:rPr>
        <w:t xml:space="preserve">Outcome-based pricing; </w:t>
      </w:r>
      <w:r w:rsidDel="00000000" w:rsidR="00000000" w:rsidRPr="00000000">
        <w:rPr>
          <w:rFonts w:ascii="Calibri" w:cs="Calibri" w:eastAsia="Calibri" w:hAnsi="Calibri"/>
          <w:color w:val="000000"/>
          <w:sz w:val="22"/>
          <w:szCs w:val="22"/>
          <w:rtl w:val="0"/>
        </w:rPr>
        <w:t xml:space="preserve">a total price for Delivery based on the expected outcome specified by the Buyer in its Statement of Requirements;</w:t>
      </w:r>
      <w:r w:rsidDel="00000000" w:rsidR="00000000" w:rsidRPr="00000000">
        <w:rPr>
          <w:rtl w:val="0"/>
        </w:rPr>
      </w:r>
    </w:p>
    <w:p w:rsidR="00000000" w:rsidDel="00000000" w:rsidP="00000000" w:rsidRDefault="00000000" w:rsidRPr="00000000" w14:paraId="000001A9">
      <w:pPr>
        <w:numPr>
          <w:ilvl w:val="3"/>
          <w:numId w:val="1"/>
        </w:numPr>
        <w:shd w:fill="ffffff" w:val="clear"/>
        <w:tabs>
          <w:tab w:val="left" w:leader="none" w:pos="709"/>
          <w:tab w:val="left" w:leader="none" w:pos="1134"/>
        </w:tabs>
        <w:spacing w:line="240" w:lineRule="auto"/>
        <w:ind w:left="0" w:hanging="2"/>
        <w:rPr>
          <w:color w:val="000000"/>
          <w:sz w:val="22"/>
          <w:szCs w:val="22"/>
        </w:rPr>
      </w:pPr>
      <w:r w:rsidDel="00000000" w:rsidR="00000000" w:rsidRPr="00000000">
        <w:rPr>
          <w:rFonts w:ascii="Calibri" w:cs="Calibri" w:eastAsia="Calibri" w:hAnsi="Calibri"/>
          <w:b w:val="1"/>
          <w:color w:val="000000"/>
          <w:sz w:val="22"/>
          <w:szCs w:val="22"/>
          <w:rtl w:val="0"/>
        </w:rPr>
        <w:t xml:space="preserve">Gainshare; </w:t>
      </w:r>
      <w:r w:rsidDel="00000000" w:rsidR="00000000" w:rsidRPr="00000000">
        <w:rPr>
          <w:rFonts w:ascii="Calibri" w:cs="Calibri" w:eastAsia="Calibri" w:hAnsi="Calibri"/>
          <w:color w:val="000000"/>
          <w:sz w:val="22"/>
          <w:szCs w:val="22"/>
          <w:rtl w:val="0"/>
        </w:rPr>
        <w:t xml:space="preserve">a pricing mechanism where a maximum price (normally ‘time and materials’) is agreed and if the actual cost for full and complete delivery comes in on time and below the maximum price. The benefit between the actual cost and the maximum price are shared; </w:t>
      </w:r>
      <w:r w:rsidDel="00000000" w:rsidR="00000000" w:rsidRPr="00000000">
        <w:rPr>
          <w:rtl w:val="0"/>
        </w:rPr>
      </w:r>
    </w:p>
    <w:p w:rsidR="00000000" w:rsidDel="00000000" w:rsidP="00000000" w:rsidRDefault="00000000" w:rsidRPr="00000000" w14:paraId="000001AA">
      <w:pPr>
        <w:numPr>
          <w:ilvl w:val="3"/>
          <w:numId w:val="1"/>
        </w:numPr>
        <w:tabs>
          <w:tab w:val="left" w:leader="none" w:pos="709"/>
        </w:tabs>
        <w:spacing w:line="240" w:lineRule="auto"/>
        <w:ind w:left="0" w:hanging="2"/>
        <w:jc w:val="left"/>
        <w:rPr>
          <w:color w:val="000000"/>
          <w:sz w:val="22"/>
          <w:szCs w:val="22"/>
        </w:rPr>
      </w:pPr>
      <w:r w:rsidDel="00000000" w:rsidR="00000000" w:rsidRPr="00000000">
        <w:rPr>
          <w:rFonts w:ascii="Calibri" w:cs="Calibri" w:eastAsia="Calibri" w:hAnsi="Calibri"/>
          <w:b w:val="1"/>
          <w:color w:val="000000"/>
          <w:sz w:val="22"/>
          <w:szCs w:val="22"/>
          <w:rtl w:val="0"/>
        </w:rPr>
        <w:t xml:space="preserve">A Cost-Plus mechanism</w:t>
      </w:r>
      <w:r w:rsidDel="00000000" w:rsidR="00000000" w:rsidRPr="00000000">
        <w:rPr>
          <w:rFonts w:ascii="Calibri" w:cs="Calibri" w:eastAsia="Calibri" w:hAnsi="Calibri"/>
          <w:color w:val="000000"/>
          <w:sz w:val="22"/>
          <w:szCs w:val="22"/>
          <w:rtl w:val="0"/>
        </w:rPr>
        <w:t xml:space="preserve">; a pricing mechanism where the total cost of the Deliverables is used, plus an extra amount to allow for an agreed profit margin to the Supplier;</w:t>
      </w:r>
      <w:r w:rsidDel="00000000" w:rsidR="00000000" w:rsidRPr="00000000">
        <w:rPr>
          <w:rtl w:val="0"/>
        </w:rPr>
      </w:r>
    </w:p>
    <w:p w:rsidR="00000000" w:rsidDel="00000000" w:rsidP="00000000" w:rsidRDefault="00000000" w:rsidRPr="00000000" w14:paraId="000001AB">
      <w:pPr>
        <w:numPr>
          <w:ilvl w:val="3"/>
          <w:numId w:val="1"/>
        </w:numPr>
        <w:tabs>
          <w:tab w:val="left" w:leader="none" w:pos="709"/>
        </w:tabs>
        <w:spacing w:line="240" w:lineRule="auto"/>
        <w:ind w:left="0" w:hanging="2"/>
        <w:jc w:val="left"/>
        <w:rPr>
          <w:color w:val="000000"/>
          <w:sz w:val="22"/>
          <w:szCs w:val="22"/>
        </w:rPr>
      </w:pPr>
      <w:r w:rsidDel="00000000" w:rsidR="00000000" w:rsidRPr="00000000">
        <w:rPr>
          <w:rFonts w:ascii="Calibri" w:cs="Calibri" w:eastAsia="Calibri" w:hAnsi="Calibri"/>
          <w:color w:val="000000"/>
          <w:sz w:val="22"/>
          <w:szCs w:val="22"/>
          <w:rtl w:val="0"/>
        </w:rPr>
        <w:t xml:space="preserve"> </w:t>
      </w:r>
      <w:r w:rsidDel="00000000" w:rsidR="00000000" w:rsidRPr="00000000">
        <w:rPr>
          <w:rFonts w:ascii="Calibri" w:cs="Calibri" w:eastAsia="Calibri" w:hAnsi="Calibri"/>
          <w:b w:val="1"/>
          <w:color w:val="000000"/>
          <w:sz w:val="22"/>
          <w:szCs w:val="22"/>
          <w:rtl w:val="0"/>
        </w:rPr>
        <w:t xml:space="preserve">A Cost-Limited mechanism</w:t>
      </w:r>
      <w:r w:rsidDel="00000000" w:rsidR="00000000" w:rsidRPr="00000000">
        <w:rPr>
          <w:rFonts w:ascii="Calibri" w:cs="Calibri" w:eastAsia="Calibri" w:hAnsi="Calibri"/>
          <w:color w:val="000000"/>
          <w:sz w:val="22"/>
          <w:szCs w:val="22"/>
          <w:rtl w:val="0"/>
        </w:rPr>
        <w:t xml:space="preserve">; a pricing mechanism where the cost estimate and delivery estimate (based on a time and materials rate-card) are capped and the individual day rates reduced so that velocity increases profit margin but late delivery reduces it.</w:t>
      </w:r>
    </w:p>
    <w:p w:rsidR="00000000" w:rsidDel="00000000" w:rsidP="00000000" w:rsidRDefault="00000000" w:rsidRPr="00000000" w14:paraId="000001AC">
      <w:pPr>
        <w:numPr>
          <w:ilvl w:val="3"/>
          <w:numId w:val="1"/>
        </w:numPr>
        <w:tabs>
          <w:tab w:val="left" w:leader="none" w:pos="709"/>
        </w:tabs>
        <w:spacing w:line="240" w:lineRule="auto"/>
        <w:ind w:left="0" w:hanging="2"/>
        <w:jc w:val="left"/>
        <w:rPr>
          <w:color w:val="000000"/>
          <w:sz w:val="22"/>
          <w:szCs w:val="22"/>
        </w:rPr>
      </w:pPr>
      <w:r w:rsidDel="00000000" w:rsidR="00000000" w:rsidRPr="00000000">
        <w:rPr>
          <w:rFonts w:ascii="Calibri" w:cs="Calibri" w:eastAsia="Calibri" w:hAnsi="Calibri"/>
          <w:b w:val="1"/>
          <w:color w:val="000000"/>
          <w:sz w:val="22"/>
          <w:szCs w:val="22"/>
          <w:rtl w:val="0"/>
        </w:rPr>
        <w:t xml:space="preserve">A Volume Based mechanism; </w:t>
      </w:r>
      <w:r w:rsidDel="00000000" w:rsidR="00000000" w:rsidRPr="00000000">
        <w:rPr>
          <w:rFonts w:ascii="Calibri" w:cs="Calibri" w:eastAsia="Calibri" w:hAnsi="Calibri"/>
          <w:color w:val="000000"/>
          <w:sz w:val="22"/>
          <w:szCs w:val="22"/>
          <w:rtl w:val="0"/>
        </w:rPr>
        <w:t xml:space="preserve">the pricing varies according to how much the service is used;  </w:t>
      </w:r>
      <w:r w:rsidDel="00000000" w:rsidR="00000000" w:rsidRPr="00000000">
        <w:rPr>
          <w:rtl w:val="0"/>
        </w:rPr>
      </w:r>
    </w:p>
    <w:p w:rsidR="00000000" w:rsidDel="00000000" w:rsidP="00000000" w:rsidRDefault="00000000" w:rsidRPr="00000000" w14:paraId="000001AD">
      <w:pPr>
        <w:numPr>
          <w:ilvl w:val="3"/>
          <w:numId w:val="1"/>
        </w:numPr>
        <w:tabs>
          <w:tab w:val="left" w:leader="none" w:pos="709"/>
        </w:tabs>
        <w:spacing w:line="240" w:lineRule="auto"/>
        <w:ind w:left="0" w:hanging="2"/>
        <w:jc w:val="left"/>
        <w:rPr>
          <w:color w:val="000000"/>
          <w:sz w:val="22"/>
          <w:szCs w:val="22"/>
        </w:rPr>
      </w:pPr>
      <w:r w:rsidDel="00000000" w:rsidR="00000000" w:rsidRPr="00000000">
        <w:rPr>
          <w:rFonts w:ascii="Calibri" w:cs="Calibri" w:eastAsia="Calibri" w:hAnsi="Calibri"/>
          <w:b w:val="1"/>
          <w:color w:val="000000"/>
          <w:sz w:val="22"/>
          <w:szCs w:val="22"/>
          <w:rtl w:val="0"/>
        </w:rPr>
        <w:t xml:space="preserve">Fixed and Variable Based</w:t>
      </w:r>
      <w:r w:rsidDel="00000000" w:rsidR="00000000" w:rsidRPr="00000000">
        <w:rPr>
          <w:rFonts w:ascii="Calibri" w:cs="Calibri" w:eastAsia="Calibri" w:hAnsi="Calibri"/>
          <w:color w:val="000000"/>
          <w:sz w:val="22"/>
          <w:szCs w:val="22"/>
          <w:rtl w:val="0"/>
        </w:rPr>
        <w:t xml:space="preserve">; pricing covering a combined mix of ‘fixed price’ and ‘volume based’ or ‘time and materials’; or</w:t>
      </w:r>
      <w:r w:rsidDel="00000000" w:rsidR="00000000" w:rsidRPr="00000000">
        <w:rPr>
          <w:rtl w:val="0"/>
        </w:rPr>
      </w:r>
    </w:p>
    <w:p w:rsidR="00000000" w:rsidDel="00000000" w:rsidP="00000000" w:rsidRDefault="00000000" w:rsidRPr="00000000" w14:paraId="000001AE">
      <w:pPr>
        <w:numPr>
          <w:ilvl w:val="3"/>
          <w:numId w:val="1"/>
        </w:numPr>
        <w:tabs>
          <w:tab w:val="left" w:leader="none" w:pos="709"/>
        </w:tabs>
        <w:spacing w:line="240" w:lineRule="auto"/>
        <w:ind w:left="0" w:hanging="2"/>
        <w:jc w:val="left"/>
        <w:rPr>
          <w:color w:val="000000"/>
          <w:sz w:val="22"/>
          <w:szCs w:val="22"/>
        </w:rPr>
      </w:pPr>
      <w:r w:rsidDel="00000000" w:rsidR="00000000" w:rsidRPr="00000000">
        <w:rPr>
          <w:rFonts w:ascii="Calibri" w:cs="Calibri" w:eastAsia="Calibri" w:hAnsi="Calibri"/>
          <w:b w:val="1"/>
          <w:color w:val="000000"/>
          <w:sz w:val="22"/>
          <w:szCs w:val="22"/>
          <w:rtl w:val="0"/>
        </w:rPr>
        <w:t xml:space="preserve">Return on Investment Model</w:t>
      </w:r>
      <w:r w:rsidDel="00000000" w:rsidR="00000000" w:rsidRPr="00000000">
        <w:rPr>
          <w:rFonts w:ascii="Calibri" w:cs="Calibri" w:eastAsia="Calibri" w:hAnsi="Calibri"/>
          <w:color w:val="000000"/>
          <w:sz w:val="22"/>
          <w:szCs w:val="22"/>
          <w:rtl w:val="0"/>
        </w:rPr>
        <w:t xml:space="preserve">; a pricing mechanism where a price is agreed for the delivery and where income or service saving related benefits are shared between the parties.</w:t>
      </w:r>
    </w:p>
    <w:p w:rsidR="00000000" w:rsidDel="00000000" w:rsidP="00000000" w:rsidRDefault="00000000" w:rsidRPr="00000000" w14:paraId="000001AF">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hanging="709"/>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1ci93xb" w:id="23"/>
      <w:bookmarkEnd w:id="2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Whilst the Supplier may suggest the charging model, it is the Buyer who will decide the applicable model which will be incorporated into each Statement of Requirement.</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1">
      <w:pPr>
        <w:numPr>
          <w:ilvl w:val="1"/>
          <w:numId w:val="1"/>
        </w:numPr>
        <w:tabs>
          <w:tab w:val="left" w:leader="none" w:pos="709"/>
        </w:tabs>
        <w:spacing w:line="240" w:lineRule="auto"/>
        <w:ind w:left="0" w:hanging="425"/>
        <w:rPr>
          <w:color w:val="000000"/>
          <w:sz w:val="22"/>
          <w:szCs w:val="22"/>
        </w:rPr>
      </w:pPr>
      <w:r w:rsidDel="00000000" w:rsidR="00000000" w:rsidRPr="00000000">
        <w:rPr>
          <w:rFonts w:ascii="Calibri" w:cs="Calibri" w:eastAsia="Calibri" w:hAnsi="Calibri"/>
          <w:color w:val="000000"/>
          <w:sz w:val="22"/>
          <w:szCs w:val="22"/>
          <w:rtl w:val="0"/>
        </w:rPr>
        <w:t xml:space="preserve">The Supplier shall at all times comply with IR35 compliance and monitor the provision of the Deliverables and notify the Buyer where it considers that the activity of the Buyer may impact the Suppliers’ (or its Subcontractors) IR35 assessment in relation to the contractors including where there is any change to the IR35 legislation or any associated national insurance legislation and regulations which may affect the Buyer. </w:t>
      </w:r>
    </w:p>
    <w:p w:rsidR="00000000" w:rsidDel="00000000" w:rsidP="00000000" w:rsidRDefault="00000000" w:rsidRPr="00000000" w14:paraId="000001B2">
      <w:pPr>
        <w:keepNext w:val="1"/>
        <w:shd w:fill="ffffff" w:val="clear"/>
        <w:tabs>
          <w:tab w:val="left" w:leader="none" w:pos="709"/>
        </w:tabs>
        <w:spacing w:line="240" w:lineRule="auto"/>
        <w:ind w:left="1" w:hanging="3"/>
        <w:rPr>
          <w:rFonts w:ascii="Calibri" w:cs="Calibri" w:eastAsia="Calibri" w:hAnsi="Calibri"/>
          <w:color w:val="000000"/>
          <w:sz w:val="32"/>
          <w:szCs w:val="32"/>
        </w:rPr>
      </w:pPr>
      <w:r w:rsidDel="00000000" w:rsidR="00000000" w:rsidRPr="00000000">
        <w:rPr>
          <w:rtl w:val="0"/>
        </w:rPr>
      </w:r>
    </w:p>
    <w:p w:rsidR="00000000" w:rsidDel="00000000" w:rsidP="00000000" w:rsidRDefault="00000000" w:rsidRPr="00000000" w14:paraId="000001B3">
      <w:pPr>
        <w:keepNext w:val="1"/>
        <w:numPr>
          <w:ilvl w:val="0"/>
          <w:numId w:val="9"/>
        </w:numPr>
        <w:shd w:fill="ffffff" w:val="clear"/>
        <w:tabs>
          <w:tab w:val="left" w:leader="none" w:pos="709"/>
        </w:tabs>
        <w:spacing w:line="240" w:lineRule="auto"/>
        <w:ind w:left="1" w:hanging="3"/>
        <w:rPr>
          <w:rFonts w:ascii="Calibri" w:cs="Calibri" w:eastAsia="Calibri" w:hAnsi="Calibri"/>
          <w:color w:val="000000"/>
          <w:sz w:val="32"/>
          <w:szCs w:val="32"/>
        </w:rPr>
      </w:pPr>
      <w:r w:rsidDel="00000000" w:rsidR="00000000" w:rsidRPr="00000000">
        <w:rPr>
          <w:rFonts w:ascii="Calibri" w:cs="Calibri" w:eastAsia="Calibri" w:hAnsi="Calibri"/>
          <w:b w:val="1"/>
          <w:color w:val="000000"/>
          <w:sz w:val="32"/>
          <w:szCs w:val="32"/>
          <w:rtl w:val="0"/>
        </w:rPr>
        <w:t xml:space="preserve">Skills and Capability</w:t>
      </w:r>
      <w:r w:rsidDel="00000000" w:rsidR="00000000" w:rsidRPr="00000000">
        <w:rPr>
          <w:rtl w:val="0"/>
        </w:rPr>
      </w:r>
    </w:p>
    <w:p w:rsidR="00000000" w:rsidDel="00000000" w:rsidP="00000000" w:rsidRDefault="00000000" w:rsidRPr="00000000" w14:paraId="000001B4">
      <w:pPr>
        <w:keepNext w:val="1"/>
        <w:numPr>
          <w:ilvl w:val="1"/>
          <w:numId w:val="9"/>
        </w:numPr>
        <w:shd w:fill="ffffff" w:val="clea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 CONTINUOUS IMPROVEMENT – BEST PRACTICE/STANDARD</w:t>
      </w:r>
      <w:r w:rsidDel="00000000" w:rsidR="00000000" w:rsidRPr="00000000">
        <w:rPr>
          <w:rtl w:val="0"/>
        </w:rPr>
      </w:r>
    </w:p>
    <w:p w:rsidR="00000000" w:rsidDel="00000000" w:rsidP="00000000" w:rsidRDefault="00000000" w:rsidRPr="00000000" w14:paraId="000001B5">
      <w:pPr>
        <w:keepNext w:val="1"/>
        <w:widowControl w:val="0"/>
        <w:numPr>
          <w:ilvl w:val="2"/>
          <w:numId w:val="9"/>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Supplier must where possible apply continuous improvement disciplines and techniques to the Services. Any future changes to the Framework Contract for ICT Technical Support (FITS) and ITIL processes and best practices must where relevant be adopted.</w:t>
      </w:r>
    </w:p>
    <w:p w:rsidR="00000000" w:rsidDel="00000000" w:rsidP="00000000" w:rsidRDefault="00000000" w:rsidRPr="00000000" w14:paraId="000001B6">
      <w:pPr>
        <w:keepNext w:val="1"/>
        <w:widowControl w:val="0"/>
        <w:tabs>
          <w:tab w:val="left" w:leader="none" w:pos="709"/>
        </w:tabs>
        <w:spacing w:line="240" w:lineRule="auto"/>
        <w:ind w:left="0" w:firstLine="0"/>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B7">
      <w:pPr>
        <w:keepNext w:val="1"/>
        <w:widowControl w:val="0"/>
        <w:numPr>
          <w:ilvl w:val="1"/>
          <w:numId w:val="9"/>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QUALITY STANDARDS</w:t>
      </w:r>
      <w:r w:rsidDel="00000000" w:rsidR="00000000" w:rsidRPr="00000000">
        <w:rPr>
          <w:rtl w:val="0"/>
        </w:rPr>
      </w:r>
    </w:p>
    <w:p w:rsidR="00000000" w:rsidDel="00000000" w:rsidP="00000000" w:rsidRDefault="00000000" w:rsidRPr="00000000" w14:paraId="000001B8">
      <w:pPr>
        <w:keepNext w:val="1"/>
        <w:widowControl w:val="0"/>
        <w:numPr>
          <w:ilvl w:val="2"/>
          <w:numId w:val="9"/>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Supplier must commit to applying quality Standards to an official standardisation as set out in Annex 1.</w:t>
      </w:r>
    </w:p>
    <w:p w:rsidR="00000000" w:rsidDel="00000000" w:rsidP="00000000" w:rsidRDefault="00000000" w:rsidRPr="00000000" w14:paraId="000001B9">
      <w:pPr>
        <w:keepNext w:val="1"/>
        <w:widowControl w:val="0"/>
        <w:tabs>
          <w:tab w:val="left" w:leader="none" w:pos="709"/>
        </w:tabs>
        <w:spacing w:line="240" w:lineRule="auto"/>
        <w:ind w:left="0" w:firstLine="0"/>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BA">
      <w:pPr>
        <w:keepNext w:val="1"/>
        <w:widowControl w:val="0"/>
        <w:numPr>
          <w:ilvl w:val="1"/>
          <w:numId w:val="9"/>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PROJECT MANAGEMENT</w:t>
      </w:r>
      <w:r w:rsidDel="00000000" w:rsidR="00000000" w:rsidRPr="00000000">
        <w:rPr>
          <w:rtl w:val="0"/>
        </w:rPr>
      </w:r>
    </w:p>
    <w:p w:rsidR="00000000" w:rsidDel="00000000" w:rsidP="00000000" w:rsidRDefault="00000000" w:rsidRPr="00000000" w14:paraId="000001BB">
      <w:pPr>
        <w:keepNext w:val="1"/>
        <w:widowControl w:val="0"/>
        <w:numPr>
          <w:ilvl w:val="2"/>
          <w:numId w:val="9"/>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Suppliers must ensure that the Services are delivered on-time, on-budget and to the required Specification of the Buyer;</w:t>
      </w:r>
    </w:p>
    <w:p w:rsidR="00000000" w:rsidDel="00000000" w:rsidP="00000000" w:rsidRDefault="00000000" w:rsidRPr="00000000" w14:paraId="000001BC">
      <w:pPr>
        <w:keepNext w:val="1"/>
        <w:widowControl w:val="0"/>
        <w:numPr>
          <w:ilvl w:val="2"/>
          <w:numId w:val="9"/>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Suppliers must ensure that the Services are delivered via a recognised project management methodology or as agreed with the Buyer;</w:t>
      </w:r>
    </w:p>
    <w:p w:rsidR="00000000" w:rsidDel="00000000" w:rsidP="00000000" w:rsidRDefault="00000000" w:rsidRPr="00000000" w14:paraId="000001BD">
      <w:pPr>
        <w:keepNext w:val="1"/>
        <w:widowControl w:val="0"/>
        <w:numPr>
          <w:ilvl w:val="2"/>
          <w:numId w:val="9"/>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Suppliers must identify, manage, mitigate and communicate risk to Delivery of the Services to the Buyer; and</w:t>
      </w:r>
    </w:p>
    <w:p w:rsidR="00000000" w:rsidDel="00000000" w:rsidP="00000000" w:rsidRDefault="00000000" w:rsidRPr="00000000" w14:paraId="000001BE">
      <w:pPr>
        <w:keepNext w:val="1"/>
        <w:widowControl w:val="0"/>
        <w:numPr>
          <w:ilvl w:val="2"/>
          <w:numId w:val="9"/>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Supplier must maintain an appropriate risks and issues log.</w:t>
      </w:r>
    </w:p>
    <w:p w:rsidR="00000000" w:rsidDel="00000000" w:rsidP="00000000" w:rsidRDefault="00000000" w:rsidRPr="00000000" w14:paraId="000001BF">
      <w:pPr>
        <w:keepNext w:val="1"/>
        <w:widowControl w:val="0"/>
        <w:tabs>
          <w:tab w:val="left" w:leader="none" w:pos="709"/>
        </w:tabs>
        <w:spacing w:line="240" w:lineRule="auto"/>
        <w:ind w:left="0" w:firstLine="0"/>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C0">
      <w:pPr>
        <w:keepNext w:val="1"/>
        <w:widowControl w:val="0"/>
        <w:numPr>
          <w:ilvl w:val="1"/>
          <w:numId w:val="9"/>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SUPPLY CHAIN AND SUBCONTRACTOR MANAGEMENT</w:t>
      </w:r>
      <w:r w:rsidDel="00000000" w:rsidR="00000000" w:rsidRPr="00000000">
        <w:rPr>
          <w:rtl w:val="0"/>
        </w:rPr>
      </w:r>
    </w:p>
    <w:p w:rsidR="00000000" w:rsidDel="00000000" w:rsidP="00000000" w:rsidRDefault="00000000" w:rsidRPr="00000000" w14:paraId="000001C1">
      <w:pPr>
        <w:keepNext w:val="1"/>
        <w:widowControl w:val="0"/>
        <w:numPr>
          <w:ilvl w:val="2"/>
          <w:numId w:val="9"/>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Suppliers shall be responsible for the management of any Suppliers or Subcontractors they employ in the Delivery of the Buyer’s requirements;</w:t>
      </w:r>
    </w:p>
    <w:p w:rsidR="00000000" w:rsidDel="00000000" w:rsidP="00000000" w:rsidRDefault="00000000" w:rsidRPr="00000000" w14:paraId="000001C2">
      <w:pPr>
        <w:keepNext w:val="1"/>
        <w:widowControl w:val="0"/>
        <w:numPr>
          <w:ilvl w:val="2"/>
          <w:numId w:val="9"/>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Suppliers will maintain effective processes for establishing, managing, maintaining, reviewing and delivering an effective, efficient supply chain to enable the provision of the Services; </w:t>
      </w:r>
    </w:p>
    <w:p w:rsidR="00000000" w:rsidDel="00000000" w:rsidP="00000000" w:rsidRDefault="00000000" w:rsidRPr="00000000" w14:paraId="000001C3">
      <w:pPr>
        <w:keepNext w:val="1"/>
        <w:widowControl w:val="0"/>
        <w:numPr>
          <w:ilvl w:val="2"/>
          <w:numId w:val="9"/>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Suppliers will where possible provide flexibility in the supply chain, ensuring that the ongoing requirements of the Buyer can be met (for example if the Buyer wishes to add a local provider to the supply chain);</w:t>
      </w:r>
    </w:p>
    <w:p w:rsidR="00000000" w:rsidDel="00000000" w:rsidP="00000000" w:rsidRDefault="00000000" w:rsidRPr="00000000" w14:paraId="000001C4">
      <w:pPr>
        <w:keepNext w:val="1"/>
        <w:widowControl w:val="0"/>
        <w:numPr>
          <w:ilvl w:val="2"/>
          <w:numId w:val="9"/>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Suppliers shall where required benchmark the supply chain against wider market rates to ensure value for money over the long term;</w:t>
      </w:r>
    </w:p>
    <w:p w:rsidR="00000000" w:rsidDel="00000000" w:rsidP="00000000" w:rsidRDefault="00000000" w:rsidRPr="00000000" w14:paraId="000001C5">
      <w:pPr>
        <w:keepNext w:val="1"/>
        <w:widowControl w:val="0"/>
        <w:numPr>
          <w:ilvl w:val="2"/>
          <w:numId w:val="9"/>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Suppliers shall maintain effective processes for establishing and managing Subcontractors/partners to enable the provision of the Goods and/or Services; and</w:t>
      </w:r>
    </w:p>
    <w:p w:rsidR="00000000" w:rsidDel="00000000" w:rsidP="00000000" w:rsidRDefault="00000000" w:rsidRPr="00000000" w14:paraId="000001C6">
      <w:pPr>
        <w:keepNext w:val="1"/>
        <w:widowControl w:val="0"/>
        <w:numPr>
          <w:ilvl w:val="2"/>
          <w:numId w:val="9"/>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Suppliers will manage the process of risk transfer to their Subcontractors in project development and delivery.</w:t>
      </w:r>
    </w:p>
    <w:p w:rsidR="00000000" w:rsidDel="00000000" w:rsidP="00000000" w:rsidRDefault="00000000" w:rsidRPr="00000000" w14:paraId="000001C7">
      <w:pPr>
        <w:keepNext w:val="1"/>
        <w:widowControl w:val="0"/>
        <w:tabs>
          <w:tab w:val="left" w:leader="none" w:pos="709"/>
        </w:tabs>
        <w:spacing w:line="240" w:lineRule="auto"/>
        <w:ind w:left="0" w:firstLine="0"/>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C8">
      <w:pPr>
        <w:keepNext w:val="1"/>
        <w:widowControl w:val="0"/>
        <w:numPr>
          <w:ilvl w:val="1"/>
          <w:numId w:val="9"/>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SUPPLIER CONTRACT MANAGEMENT</w:t>
      </w:r>
      <w:r w:rsidDel="00000000" w:rsidR="00000000" w:rsidRPr="00000000">
        <w:rPr>
          <w:rtl w:val="0"/>
        </w:rPr>
      </w:r>
    </w:p>
    <w:p w:rsidR="00000000" w:rsidDel="00000000" w:rsidP="00000000" w:rsidRDefault="00000000" w:rsidRPr="00000000" w14:paraId="000001C9">
      <w:pPr>
        <w:keepNext w:val="1"/>
        <w:widowControl w:val="0"/>
        <w:numPr>
          <w:ilvl w:val="2"/>
          <w:numId w:val="9"/>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Suppliers will effectively manage Call-Off Contracts, including direct awards throughout their respective terms including but not limited to:</w:t>
      </w:r>
    </w:p>
    <w:p w:rsidR="00000000" w:rsidDel="00000000" w:rsidP="00000000" w:rsidRDefault="00000000" w:rsidRPr="00000000" w14:paraId="000001CA">
      <w:pPr>
        <w:widowControl w:val="0"/>
        <w:numPr>
          <w:ilvl w:val="3"/>
          <w:numId w:val="9"/>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Ensuring that the Buyer remains informed of key areas which may include contract status, issues, performance and timescales;</w:t>
      </w:r>
    </w:p>
    <w:p w:rsidR="00000000" w:rsidDel="00000000" w:rsidP="00000000" w:rsidRDefault="00000000" w:rsidRPr="00000000" w14:paraId="000001CB">
      <w:pPr>
        <w:widowControl w:val="0"/>
        <w:numPr>
          <w:ilvl w:val="3"/>
          <w:numId w:val="9"/>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Where requested providing the Buyer with a schedule of expected Buyer obligations;</w:t>
      </w:r>
    </w:p>
    <w:p w:rsidR="00000000" w:rsidDel="00000000" w:rsidP="00000000" w:rsidRDefault="00000000" w:rsidRPr="00000000" w14:paraId="000001CC">
      <w:pPr>
        <w:widowControl w:val="0"/>
        <w:numPr>
          <w:ilvl w:val="3"/>
          <w:numId w:val="9"/>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process of achieving contract close with the Buyer post selection as preferred Supplier;</w:t>
      </w:r>
    </w:p>
    <w:p w:rsidR="00000000" w:rsidDel="00000000" w:rsidP="00000000" w:rsidRDefault="00000000" w:rsidRPr="00000000" w14:paraId="000001CD">
      <w:pPr>
        <w:widowControl w:val="0"/>
        <w:numPr>
          <w:ilvl w:val="3"/>
          <w:numId w:val="9"/>
        </w:numPr>
        <w:tabs>
          <w:tab w:val="left" w:leader="none" w:pos="709"/>
        </w:tabs>
        <w:spacing w:after="12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change control process should alterations to the Contract be required post-contract close.</w:t>
      </w:r>
    </w:p>
    <w:p w:rsidR="00000000" w:rsidDel="00000000" w:rsidP="00000000" w:rsidRDefault="00000000" w:rsidRPr="00000000" w14:paraId="000001CE">
      <w:pPr>
        <w:keepNext w:val="1"/>
        <w:shd w:fill="ffffff" w:val="clear"/>
        <w:tabs>
          <w:tab w:val="left" w:leader="none" w:pos="709"/>
        </w:tabs>
        <w:spacing w:line="240" w:lineRule="auto"/>
        <w:ind w:left="1" w:hanging="3"/>
        <w:rPr>
          <w:rFonts w:ascii="Calibri" w:cs="Calibri" w:eastAsia="Calibri" w:hAnsi="Calibri"/>
          <w:color w:val="000000"/>
          <w:sz w:val="32"/>
          <w:szCs w:val="32"/>
        </w:rPr>
      </w:pPr>
      <w:r w:rsidDel="00000000" w:rsidR="00000000" w:rsidRPr="00000000">
        <w:rPr>
          <w:rtl w:val="0"/>
        </w:rPr>
      </w:r>
    </w:p>
    <w:p w:rsidR="00000000" w:rsidDel="00000000" w:rsidP="00000000" w:rsidRDefault="00000000" w:rsidRPr="00000000" w14:paraId="000001CF">
      <w:pPr>
        <w:keepNext w:val="1"/>
        <w:numPr>
          <w:ilvl w:val="0"/>
          <w:numId w:val="3"/>
        </w:numPr>
        <w:shd w:fill="ffffff" w:val="clear"/>
        <w:tabs>
          <w:tab w:val="left" w:leader="none" w:pos="709"/>
        </w:tabs>
        <w:spacing w:line="240" w:lineRule="auto"/>
        <w:ind w:left="1" w:hanging="3"/>
        <w:rPr>
          <w:rFonts w:ascii="Calibri" w:cs="Calibri" w:eastAsia="Calibri" w:hAnsi="Calibri"/>
          <w:color w:val="000000"/>
          <w:sz w:val="32"/>
          <w:szCs w:val="32"/>
        </w:rPr>
      </w:pPr>
      <w:r w:rsidDel="00000000" w:rsidR="00000000" w:rsidRPr="00000000">
        <w:rPr>
          <w:rFonts w:ascii="Calibri" w:cs="Calibri" w:eastAsia="Calibri" w:hAnsi="Calibri"/>
          <w:b w:val="1"/>
          <w:color w:val="000000"/>
          <w:sz w:val="32"/>
          <w:szCs w:val="32"/>
          <w:rtl w:val="0"/>
        </w:rPr>
        <w:t xml:space="preserve">Standards</w:t>
      </w:r>
      <w:r w:rsidDel="00000000" w:rsidR="00000000" w:rsidRPr="00000000">
        <w:rPr>
          <w:rtl w:val="0"/>
        </w:rPr>
      </w:r>
    </w:p>
    <w:p w:rsidR="00000000" w:rsidDel="00000000" w:rsidP="00000000" w:rsidRDefault="00000000" w:rsidRPr="00000000" w14:paraId="000001D0">
      <w:pPr>
        <w:numPr>
          <w:ilvl w:val="1"/>
          <w:numId w:val="3"/>
        </w:numPr>
        <w:shd w:fill="ffffff" w:val="clear"/>
        <w:tabs>
          <w:tab w:val="left" w:leader="none" w:pos="709"/>
        </w:tabs>
        <w:spacing w:line="240" w:lineRule="auto"/>
        <w:ind w:left="0" w:hanging="2"/>
        <w:rPr>
          <w:rFonts w:ascii="Calibri" w:cs="Calibri" w:eastAsia="Calibri" w:hAnsi="Calibri"/>
          <w:color w:val="000000"/>
          <w:sz w:val="22"/>
          <w:szCs w:val="22"/>
        </w:rPr>
      </w:pPr>
      <w:bookmarkStart w:colFirst="0" w:colLast="0" w:name="_3whwml4" w:id="24"/>
      <w:bookmarkEnd w:id="24"/>
      <w:r w:rsidDel="00000000" w:rsidR="00000000" w:rsidRPr="00000000">
        <w:rPr>
          <w:rFonts w:ascii="Calibri" w:cs="Calibri" w:eastAsia="Calibri" w:hAnsi="Calibri"/>
          <w:color w:val="000000"/>
          <w:sz w:val="22"/>
          <w:szCs w:val="22"/>
          <w:rtl w:val="0"/>
        </w:rPr>
        <w:t xml:space="preserve">The Supplier must: </w:t>
      </w:r>
    </w:p>
    <w:p w:rsidR="00000000" w:rsidDel="00000000" w:rsidP="00000000" w:rsidRDefault="00000000" w:rsidRPr="00000000" w14:paraId="000001D1">
      <w:pPr>
        <w:numPr>
          <w:ilvl w:val="2"/>
          <w:numId w:val="3"/>
        </w:numPr>
        <w:tabs>
          <w:tab w:val="left" w:leader="none" w:pos="709"/>
        </w:tabs>
        <w:spacing w:line="240" w:lineRule="auto"/>
        <w:ind w:left="0" w:hanging="2"/>
        <w:rPr>
          <w:rFonts w:ascii="Calibri" w:cs="Calibri" w:eastAsia="Calibri" w:hAnsi="Calibri"/>
          <w:color w:val="000000"/>
          <w:sz w:val="22"/>
          <w:szCs w:val="22"/>
        </w:rPr>
      </w:pPr>
      <w:bookmarkStart w:colFirst="0" w:colLast="0" w:name="_2bn6wsx" w:id="25"/>
      <w:bookmarkEnd w:id="25"/>
      <w:r w:rsidDel="00000000" w:rsidR="00000000" w:rsidRPr="00000000">
        <w:rPr>
          <w:rFonts w:ascii="Calibri" w:cs="Calibri" w:eastAsia="Calibri" w:hAnsi="Calibri"/>
          <w:color w:val="000000"/>
          <w:sz w:val="22"/>
          <w:szCs w:val="22"/>
          <w:rtl w:val="0"/>
        </w:rPr>
        <w:t xml:space="preserve">work according to the Technology Code of Practice and standards set out in Annex 1 to this Framework Schedule 1; </w:t>
      </w:r>
    </w:p>
    <w:p w:rsidR="00000000" w:rsidDel="00000000" w:rsidP="00000000" w:rsidRDefault="00000000" w:rsidRPr="00000000" w14:paraId="000001D2">
      <w:pPr>
        <w:numPr>
          <w:ilvl w:val="2"/>
          <w:numId w:val="3"/>
        </w:numPr>
        <w:tabs>
          <w:tab w:val="left" w:leader="none" w:pos="709"/>
        </w:tabs>
        <w:spacing w:line="240" w:lineRule="auto"/>
        <w:ind w:left="0" w:hanging="2"/>
        <w:rPr>
          <w:rFonts w:ascii="Calibri" w:cs="Calibri" w:eastAsia="Calibri" w:hAnsi="Calibri"/>
          <w:color w:val="000000"/>
          <w:sz w:val="22"/>
          <w:szCs w:val="22"/>
        </w:rPr>
      </w:pPr>
      <w:bookmarkStart w:colFirst="0" w:colLast="0" w:name="_qsh70q" w:id="26"/>
      <w:bookmarkEnd w:id="26"/>
      <w:r w:rsidDel="00000000" w:rsidR="00000000" w:rsidRPr="00000000">
        <w:rPr>
          <w:rFonts w:ascii="Calibri" w:cs="Calibri" w:eastAsia="Calibri" w:hAnsi="Calibri"/>
          <w:color w:val="000000"/>
          <w:sz w:val="22"/>
          <w:szCs w:val="22"/>
          <w:rtl w:val="0"/>
        </w:rPr>
        <w:t xml:space="preserve">work according to the GDS Service Manual and understand what it means to work on one of the discovery, Alpha, Beta, Live or retirement phases described in this Specification;</w:t>
      </w:r>
    </w:p>
    <w:p w:rsidR="00000000" w:rsidDel="00000000" w:rsidP="00000000" w:rsidRDefault="00000000" w:rsidRPr="00000000" w14:paraId="000001D3">
      <w:pPr>
        <w:numPr>
          <w:ilvl w:val="2"/>
          <w:numId w:val="3"/>
        </w:numPr>
        <w:tabs>
          <w:tab w:val="left" w:leader="none" w:pos="709"/>
        </w:tabs>
        <w:spacing w:line="240" w:lineRule="auto"/>
        <w:ind w:left="0" w:hanging="2"/>
        <w:rPr>
          <w:rFonts w:ascii="Calibri" w:cs="Calibri" w:eastAsia="Calibri" w:hAnsi="Calibri"/>
          <w:color w:val="000000"/>
          <w:sz w:val="22"/>
          <w:szCs w:val="22"/>
        </w:rPr>
      </w:pPr>
      <w:bookmarkStart w:colFirst="0" w:colLast="0" w:name="_3as4poj" w:id="27"/>
      <w:bookmarkEnd w:id="27"/>
      <w:r w:rsidDel="00000000" w:rsidR="00000000" w:rsidRPr="00000000">
        <w:rPr>
          <w:rFonts w:ascii="Calibri" w:cs="Calibri" w:eastAsia="Calibri" w:hAnsi="Calibri"/>
          <w:color w:val="000000"/>
          <w:sz w:val="22"/>
          <w:szCs w:val="22"/>
          <w:rtl w:val="0"/>
        </w:rPr>
        <w:t xml:space="preserve">ensure all activity adheres to the GDS delivery methodology, including status reporting, tracking risks and issues and communicating key decisions; </w:t>
      </w:r>
    </w:p>
    <w:p w:rsidR="00000000" w:rsidDel="00000000" w:rsidP="00000000" w:rsidRDefault="00000000" w:rsidRPr="00000000" w14:paraId="000001D4">
      <w:pPr>
        <w:numPr>
          <w:ilvl w:val="2"/>
          <w:numId w:val="3"/>
        </w:numPr>
        <w:tabs>
          <w:tab w:val="left" w:leader="none" w:pos="709"/>
        </w:tabs>
        <w:spacing w:line="240" w:lineRule="auto"/>
        <w:ind w:left="0" w:hanging="2"/>
        <w:rPr>
          <w:rFonts w:ascii="Calibri" w:cs="Calibri" w:eastAsia="Calibri" w:hAnsi="Calibri"/>
          <w:color w:val="000000"/>
          <w:sz w:val="22"/>
          <w:szCs w:val="22"/>
        </w:rPr>
      </w:pPr>
      <w:bookmarkStart w:colFirst="0" w:colLast="0" w:name="_1pxezwc" w:id="28"/>
      <w:bookmarkEnd w:id="28"/>
      <w:r w:rsidDel="00000000" w:rsidR="00000000" w:rsidRPr="00000000">
        <w:rPr>
          <w:rFonts w:ascii="Calibri" w:cs="Calibri" w:eastAsia="Calibri" w:hAnsi="Calibri"/>
          <w:color w:val="000000"/>
          <w:sz w:val="22"/>
          <w:szCs w:val="22"/>
          <w:rtl w:val="0"/>
        </w:rPr>
        <w:t xml:space="preserve">ensure all services meet the Buyer’s service acceptance criteria;  </w:t>
      </w:r>
    </w:p>
    <w:p w:rsidR="00000000" w:rsidDel="00000000" w:rsidP="00000000" w:rsidRDefault="00000000" w:rsidRPr="00000000" w14:paraId="000001D5">
      <w:pPr>
        <w:numPr>
          <w:ilvl w:val="2"/>
          <w:numId w:val="3"/>
        </w:numPr>
        <w:tabs>
          <w:tab w:val="left" w:leader="none" w:pos="709"/>
        </w:tabs>
        <w:spacing w:line="240" w:lineRule="auto"/>
        <w:ind w:left="0" w:hanging="2"/>
        <w:rPr>
          <w:rFonts w:ascii="Calibri" w:cs="Calibri" w:eastAsia="Calibri" w:hAnsi="Calibri"/>
          <w:color w:val="000000"/>
          <w:sz w:val="22"/>
          <w:szCs w:val="22"/>
        </w:rPr>
      </w:pPr>
      <w:bookmarkStart w:colFirst="0" w:colLast="0" w:name="_49x2ik5" w:id="29"/>
      <w:bookmarkEnd w:id="29"/>
      <w:r w:rsidDel="00000000" w:rsidR="00000000" w:rsidRPr="00000000">
        <w:rPr>
          <w:rFonts w:ascii="Calibri" w:cs="Calibri" w:eastAsia="Calibri" w:hAnsi="Calibri"/>
          <w:color w:val="000000"/>
          <w:sz w:val="22"/>
          <w:szCs w:val="22"/>
          <w:rtl w:val="0"/>
        </w:rPr>
        <w:t xml:space="preserve">ensure compliance with National Cyber Security Centre (NCSC) standards; </w:t>
      </w:r>
    </w:p>
    <w:p w:rsidR="00000000" w:rsidDel="00000000" w:rsidP="00000000" w:rsidRDefault="00000000" w:rsidRPr="00000000" w14:paraId="000001D6">
      <w:pPr>
        <w:numPr>
          <w:ilvl w:val="2"/>
          <w:numId w:val="3"/>
        </w:numPr>
        <w:tabs>
          <w:tab w:val="left" w:leader="none" w:pos="709"/>
        </w:tabs>
        <w:spacing w:line="240" w:lineRule="auto"/>
        <w:ind w:left="0" w:hanging="2"/>
        <w:rPr>
          <w:rFonts w:ascii="Calibri" w:cs="Calibri" w:eastAsia="Calibri" w:hAnsi="Calibri"/>
          <w:color w:val="000000"/>
          <w:sz w:val="22"/>
          <w:szCs w:val="22"/>
        </w:rPr>
      </w:pPr>
      <w:bookmarkStart w:colFirst="0" w:colLast="0" w:name="_2p2csry" w:id="30"/>
      <w:bookmarkEnd w:id="30"/>
      <w:r w:rsidDel="00000000" w:rsidR="00000000" w:rsidRPr="00000000">
        <w:rPr>
          <w:rFonts w:ascii="Calibri" w:cs="Calibri" w:eastAsia="Calibri" w:hAnsi="Calibri"/>
          <w:color w:val="000000"/>
          <w:sz w:val="22"/>
          <w:szCs w:val="22"/>
          <w:rtl w:val="0"/>
        </w:rPr>
        <w:t xml:space="preserve">work collaboratively and share information with other Suppliers and the Buyer;</w:t>
      </w:r>
    </w:p>
    <w:p w:rsidR="00000000" w:rsidDel="00000000" w:rsidP="00000000" w:rsidRDefault="00000000" w:rsidRPr="00000000" w14:paraId="000001D7">
      <w:pPr>
        <w:numPr>
          <w:ilvl w:val="2"/>
          <w:numId w:val="3"/>
        </w:numPr>
        <w:tabs>
          <w:tab w:val="left" w:leader="none" w:pos="709"/>
        </w:tabs>
        <w:spacing w:line="240" w:lineRule="auto"/>
        <w:ind w:left="0" w:hanging="2"/>
        <w:rPr>
          <w:rFonts w:ascii="Calibri" w:cs="Calibri" w:eastAsia="Calibri" w:hAnsi="Calibri"/>
          <w:color w:val="000000"/>
          <w:sz w:val="22"/>
          <w:szCs w:val="22"/>
        </w:rPr>
      </w:pPr>
      <w:bookmarkStart w:colFirst="0" w:colLast="0" w:name="_147n2zr" w:id="31"/>
      <w:bookmarkEnd w:id="31"/>
      <w:r w:rsidDel="00000000" w:rsidR="00000000" w:rsidRPr="00000000">
        <w:rPr>
          <w:rFonts w:ascii="Calibri" w:cs="Calibri" w:eastAsia="Calibri" w:hAnsi="Calibri"/>
          <w:color w:val="000000"/>
          <w:sz w:val="22"/>
          <w:szCs w:val="22"/>
          <w:rtl w:val="0"/>
        </w:rPr>
        <w:t xml:space="preserve">adhere to the agreed set of testing processes, producing test artefacts and assets described in these standards; and</w:t>
      </w:r>
    </w:p>
    <w:p w:rsidR="00000000" w:rsidDel="00000000" w:rsidP="00000000" w:rsidRDefault="00000000" w:rsidRPr="00000000" w14:paraId="000001D8">
      <w:pPr>
        <w:numPr>
          <w:ilvl w:val="2"/>
          <w:numId w:val="3"/>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abide by all relevant policies, including specific security policies.</w:t>
      </w:r>
    </w:p>
    <w:p w:rsidR="00000000" w:rsidDel="00000000" w:rsidP="00000000" w:rsidRDefault="00000000" w:rsidRPr="00000000" w14:paraId="000001D9">
      <w:pPr>
        <w:tabs>
          <w:tab w:val="left" w:leader="none" w:pos="709"/>
        </w:tabs>
        <w:spacing w:line="240" w:lineRule="auto"/>
        <w:ind w:left="0" w:firstLine="0"/>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DA">
      <w:pPr>
        <w:numPr>
          <w:ilvl w:val="1"/>
          <w:numId w:val="3"/>
        </w:numPr>
        <w:shd w:fill="ffffff" w:val="clear"/>
        <w:tabs>
          <w:tab w:val="left" w:leader="none" w:pos="709"/>
        </w:tabs>
        <w:spacing w:line="240" w:lineRule="auto"/>
        <w:ind w:left="0" w:hanging="2"/>
        <w:rPr>
          <w:rFonts w:ascii="Calibri" w:cs="Calibri" w:eastAsia="Calibri" w:hAnsi="Calibri"/>
          <w:color w:val="000000"/>
          <w:sz w:val="22"/>
          <w:szCs w:val="22"/>
        </w:rPr>
      </w:pPr>
      <w:bookmarkStart w:colFirst="0" w:colLast="0" w:name="_3o7alnk" w:id="32"/>
      <w:bookmarkEnd w:id="32"/>
      <w:r w:rsidDel="00000000" w:rsidR="00000000" w:rsidRPr="00000000">
        <w:rPr>
          <w:rFonts w:ascii="Calibri" w:cs="Calibri" w:eastAsia="Calibri" w:hAnsi="Calibri"/>
          <w:color w:val="000000"/>
          <w:sz w:val="22"/>
          <w:szCs w:val="22"/>
          <w:rtl w:val="0"/>
        </w:rPr>
        <w:t xml:space="preserve">The Supplier must support the Buyer:</w:t>
      </w:r>
    </w:p>
    <w:p w:rsidR="00000000" w:rsidDel="00000000" w:rsidP="00000000" w:rsidRDefault="00000000" w:rsidRPr="00000000" w14:paraId="000001DB">
      <w:pPr>
        <w:numPr>
          <w:ilvl w:val="2"/>
          <w:numId w:val="3"/>
        </w:numPr>
        <w:tabs>
          <w:tab w:val="left" w:leader="none" w:pos="709"/>
        </w:tabs>
        <w:spacing w:line="240" w:lineRule="auto"/>
        <w:ind w:left="0" w:hanging="2"/>
        <w:rPr>
          <w:rFonts w:ascii="Calibri" w:cs="Calibri" w:eastAsia="Calibri" w:hAnsi="Calibri"/>
          <w:color w:val="000000"/>
          <w:sz w:val="22"/>
          <w:szCs w:val="22"/>
        </w:rPr>
      </w:pPr>
      <w:bookmarkStart w:colFirst="0" w:colLast="0" w:name="_23ckvvd" w:id="33"/>
      <w:bookmarkEnd w:id="33"/>
      <w:r w:rsidDel="00000000" w:rsidR="00000000" w:rsidRPr="00000000">
        <w:rPr>
          <w:rFonts w:ascii="Calibri" w:cs="Calibri" w:eastAsia="Calibri" w:hAnsi="Calibri"/>
          <w:color w:val="000000"/>
          <w:sz w:val="22"/>
          <w:szCs w:val="22"/>
          <w:rtl w:val="0"/>
        </w:rPr>
        <w:t xml:space="preserve">in complying with the GDS Service Manual;</w:t>
      </w:r>
    </w:p>
    <w:p w:rsidR="00000000" w:rsidDel="00000000" w:rsidP="00000000" w:rsidRDefault="00000000" w:rsidRPr="00000000" w14:paraId="000001DC">
      <w:pPr>
        <w:numPr>
          <w:ilvl w:val="2"/>
          <w:numId w:val="3"/>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through successful Service Standard assessments;</w:t>
      </w:r>
    </w:p>
    <w:p w:rsidR="00000000" w:rsidDel="00000000" w:rsidP="00000000" w:rsidRDefault="00000000" w:rsidRPr="00000000" w14:paraId="000001DD">
      <w:pPr>
        <w:numPr>
          <w:ilvl w:val="2"/>
          <w:numId w:val="3"/>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to develop Services based on Open Standards Principles and accessible data protocols, to ensure they are interoperable; and</w:t>
      </w:r>
    </w:p>
    <w:p w:rsidR="00000000" w:rsidDel="00000000" w:rsidP="00000000" w:rsidRDefault="00000000" w:rsidRPr="00000000" w14:paraId="000001DE">
      <w:pPr>
        <w:numPr>
          <w:ilvl w:val="2"/>
          <w:numId w:val="3"/>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highlight w:val="white"/>
          <w:rtl w:val="0"/>
        </w:rPr>
        <w:t xml:space="preserve">to comply with any adopted open standards that are compulsory in government as described at the following link</w:t>
      </w:r>
      <w:r w:rsidDel="00000000" w:rsidR="00000000" w:rsidRPr="00000000">
        <w:rPr>
          <w:rFonts w:ascii="Calibri" w:cs="Calibri" w:eastAsia="Calibri" w:hAnsi="Calibri"/>
          <w:color w:val="000000"/>
          <w:sz w:val="22"/>
          <w:szCs w:val="22"/>
          <w:rtl w:val="0"/>
        </w:rPr>
        <w:t xml:space="preserve">:  </w:t>
      </w:r>
      <w:hyperlink r:id="rId14">
        <w:r w:rsidDel="00000000" w:rsidR="00000000" w:rsidRPr="00000000">
          <w:rPr>
            <w:rFonts w:ascii="Calibri" w:cs="Calibri" w:eastAsia="Calibri" w:hAnsi="Calibri"/>
            <w:color w:val="000000"/>
            <w:sz w:val="22"/>
            <w:szCs w:val="22"/>
            <w:u w:val="single"/>
            <w:rtl w:val="0"/>
          </w:rPr>
          <w:t xml:space="preserve">http://standards.data.gov.uk/challenges/adopted</w:t>
        </w:r>
      </w:hyperlink>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1DF">
      <w:pPr>
        <w:tabs>
          <w:tab w:val="left" w:leader="none" w:pos="709"/>
        </w:tabs>
        <w:spacing w:line="240" w:lineRule="auto"/>
        <w:ind w:left="0" w:firstLine="0"/>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tab/>
      </w:r>
    </w:p>
    <w:p w:rsidR="00000000" w:rsidDel="00000000" w:rsidP="00000000" w:rsidRDefault="00000000" w:rsidRPr="00000000" w14:paraId="000001E0">
      <w:pPr>
        <w:numPr>
          <w:ilvl w:val="1"/>
          <w:numId w:val="3"/>
        </w:numPr>
        <w:shd w:fill="ffffff" w:val="clear"/>
        <w:tabs>
          <w:tab w:val="left" w:leader="none" w:pos="709"/>
        </w:tabs>
        <w:spacing w:after="12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Supplier must comply with the Standards set out in Annex 1 where relevant (to the level requested by the Buyer) and with any specific Standards incorporated into the relevant Call-Off Contract and each Statement of Requirement.</w:t>
      </w:r>
    </w:p>
    <w:p w:rsidR="00000000" w:rsidDel="00000000" w:rsidP="00000000" w:rsidRDefault="00000000" w:rsidRPr="00000000" w14:paraId="000001E1">
      <w:p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E2">
      <w:pPr>
        <w:numPr>
          <w:ilvl w:val="0"/>
          <w:numId w:val="4"/>
        </w:numPr>
        <w:tabs>
          <w:tab w:val="left" w:leader="none" w:pos="709"/>
        </w:tabs>
        <w:spacing w:line="240" w:lineRule="auto"/>
        <w:ind w:left="1" w:hanging="3"/>
        <w:rPr>
          <w:rFonts w:ascii="Calibri" w:cs="Calibri" w:eastAsia="Calibri" w:hAnsi="Calibri"/>
          <w:color w:val="000000"/>
          <w:sz w:val="32"/>
          <w:szCs w:val="32"/>
        </w:rPr>
      </w:pPr>
      <w:r w:rsidDel="00000000" w:rsidR="00000000" w:rsidRPr="00000000">
        <w:rPr>
          <w:rFonts w:ascii="Calibri" w:cs="Calibri" w:eastAsia="Calibri" w:hAnsi="Calibri"/>
          <w:b w:val="1"/>
          <w:color w:val="000000"/>
          <w:sz w:val="32"/>
          <w:szCs w:val="32"/>
          <w:rtl w:val="0"/>
        </w:rPr>
        <w:t xml:space="preserve">Code of conduct</w:t>
      </w:r>
      <w:r w:rsidDel="00000000" w:rsidR="00000000" w:rsidRPr="00000000">
        <w:rPr>
          <w:rtl w:val="0"/>
        </w:rPr>
      </w:r>
    </w:p>
    <w:p w:rsidR="00000000" w:rsidDel="00000000" w:rsidP="00000000" w:rsidRDefault="00000000" w:rsidRPr="00000000" w14:paraId="000001E3">
      <w:pPr>
        <w:numPr>
          <w:ilvl w:val="1"/>
          <w:numId w:val="4"/>
        </w:numPr>
        <w:tabs>
          <w:tab w:val="left" w:leader="none" w:pos="709"/>
          <w:tab w:val="left" w:leader="none" w:pos="1134"/>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Supplier must support the Buyer according to the Civil Service conduct and guidance, </w:t>
        <w:tab/>
        <w:t xml:space="preserve">accessible at the following link: </w:t>
        <w:tab/>
        <w:tab/>
        <w:tab/>
        <w:tab/>
      </w:r>
    </w:p>
    <w:p w:rsidR="00000000" w:rsidDel="00000000" w:rsidP="00000000" w:rsidRDefault="00000000" w:rsidRPr="00000000" w14:paraId="000001E4">
      <w:pPr>
        <w:tabs>
          <w:tab w:val="left" w:leader="none" w:pos="709"/>
          <w:tab w:val="left" w:leader="none" w:pos="1134"/>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ab/>
      </w:r>
      <w:hyperlink r:id="rId15">
        <w:r w:rsidDel="00000000" w:rsidR="00000000" w:rsidRPr="00000000">
          <w:rPr>
            <w:rFonts w:ascii="Calibri" w:cs="Calibri" w:eastAsia="Calibri" w:hAnsi="Calibri"/>
            <w:color w:val="000000"/>
            <w:sz w:val="22"/>
            <w:szCs w:val="22"/>
            <w:u w:val="single"/>
            <w:rtl w:val="0"/>
          </w:rPr>
          <w:t xml:space="preserve">https://www.gov.uk/government/collections/civil-service-conduct-and-guidance</w:t>
        </w:r>
      </w:hyperlink>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1E5">
      <w:pPr>
        <w:shd w:fill="ffffff" w:val="clear"/>
        <w:tabs>
          <w:tab w:val="left" w:leader="none" w:pos="709"/>
          <w:tab w:val="left" w:leader="none" w:pos="705"/>
        </w:tabs>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E6">
      <w:pPr>
        <w:numPr>
          <w:ilvl w:val="0"/>
          <w:numId w:val="2"/>
        </w:numPr>
        <w:shd w:fill="ffffff" w:val="clear"/>
        <w:tabs>
          <w:tab w:val="left" w:leader="none" w:pos="709"/>
          <w:tab w:val="left" w:leader="none" w:pos="705"/>
        </w:tabs>
        <w:spacing w:line="240" w:lineRule="auto"/>
        <w:ind w:left="1" w:hanging="3"/>
        <w:jc w:val="left"/>
        <w:rPr>
          <w:rFonts w:ascii="Calibri" w:cs="Calibri" w:eastAsia="Calibri" w:hAnsi="Calibri"/>
          <w:color w:val="000000"/>
          <w:sz w:val="32"/>
          <w:szCs w:val="32"/>
        </w:rPr>
      </w:pPr>
      <w:r w:rsidDel="00000000" w:rsidR="00000000" w:rsidRPr="00000000">
        <w:rPr>
          <w:rFonts w:ascii="Calibri" w:cs="Calibri" w:eastAsia="Calibri" w:hAnsi="Calibri"/>
          <w:b w:val="1"/>
          <w:color w:val="000000"/>
          <w:sz w:val="32"/>
          <w:szCs w:val="32"/>
          <w:rtl w:val="0"/>
        </w:rPr>
        <w:t xml:space="preserve">Collaboration, Joint Working and Rainbow teams Requirements </w:t>
      </w:r>
      <w:r w:rsidDel="00000000" w:rsidR="00000000" w:rsidRPr="00000000">
        <w:rPr>
          <w:rtl w:val="0"/>
        </w:rPr>
      </w:r>
    </w:p>
    <w:p w:rsidR="00000000" w:rsidDel="00000000" w:rsidP="00000000" w:rsidRDefault="00000000" w:rsidRPr="00000000" w14:paraId="000001E7">
      <w:pPr>
        <w:numPr>
          <w:ilvl w:val="1"/>
          <w:numId w:val="2"/>
        </w:numPr>
        <w:shd w:fill="ffffff" w:val="clear"/>
        <w:tabs>
          <w:tab w:val="left" w:leader="none" w:pos="709"/>
          <w:tab w:val="left" w:leader="none" w:pos="1134"/>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Deliverables supplied under the Call-Off Contract and each Statement of Requirement may require the Supplier to work in collaboration with other Suppliers of the Buyer.  In the event that the Deliverables do require such collaboration, the Supplier shall comply with the following:</w:t>
      </w:r>
    </w:p>
    <w:p w:rsidR="00000000" w:rsidDel="00000000" w:rsidP="00000000" w:rsidRDefault="00000000" w:rsidRPr="00000000" w14:paraId="000001E8">
      <w:pPr>
        <w:numPr>
          <w:ilvl w:val="1"/>
          <w:numId w:val="2"/>
        </w:numPr>
        <w:shd w:fill="ffffff" w:val="clear"/>
        <w:tabs>
          <w:tab w:val="left" w:leader="none" w:pos="709"/>
          <w:tab w:val="left" w:leader="none" w:pos="1134"/>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Supplier shall:</w:t>
      </w:r>
    </w:p>
    <w:p w:rsidR="00000000" w:rsidDel="00000000" w:rsidP="00000000" w:rsidRDefault="00000000" w:rsidRPr="00000000" w14:paraId="000001E9">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work proactively with (a) the Buyer, (b) the incumbent providers, and (c) each of the other Framework Suppliers, in a spirit of trust and mutual confidence; </w:t>
      </w:r>
    </w:p>
    <w:p w:rsidR="00000000" w:rsidDel="00000000" w:rsidP="00000000" w:rsidRDefault="00000000" w:rsidRPr="00000000" w14:paraId="000001EA">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cooperate with the Buyer’s other suppliers and contractors of other goods and/or services to enable and ensure efficient delivery; </w:t>
      </w:r>
    </w:p>
    <w:p w:rsidR="00000000" w:rsidDel="00000000" w:rsidP="00000000" w:rsidRDefault="00000000" w:rsidRPr="00000000" w14:paraId="000001EB">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assist in sharing information with the Buyer’s other suppliers and contractors for the purposes of facilitating provision of the deliverables;</w:t>
      </w:r>
    </w:p>
    <w:p w:rsidR="00000000" w:rsidDel="00000000" w:rsidP="00000000" w:rsidRDefault="00000000" w:rsidRPr="00000000" w14:paraId="000001EC">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all additional cooperation and assistance as is reasonably required by the Buyer to ensure the continuous delivery of the deliverables and other services under the Call-Off Contract; and</w:t>
      </w:r>
    </w:p>
    <w:p w:rsidR="00000000" w:rsidDel="00000000" w:rsidP="00000000" w:rsidRDefault="00000000" w:rsidRPr="00000000" w14:paraId="000001ED">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the Supplier’s Subcontractors provide all cooperation and assistance as required by the Buyer pursuant to the Call-Off Contract.</w:t>
      </w:r>
    </w:p>
    <w:p w:rsidR="00000000" w:rsidDel="00000000" w:rsidP="00000000" w:rsidRDefault="00000000" w:rsidRPr="00000000" w14:paraId="000001EE">
      <w:pPr>
        <w:shd w:fill="ffffff" w:val="clear"/>
        <w:tabs>
          <w:tab w:val="left" w:leader="none" w:pos="709"/>
          <w:tab w:val="left" w:leader="none" w:pos="1134"/>
        </w:tabs>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EF">
      <w:pPr>
        <w:numPr>
          <w:ilvl w:val="0"/>
          <w:numId w:val="5"/>
        </w:numPr>
        <w:shd w:fill="ffffff" w:val="clear"/>
        <w:tabs>
          <w:tab w:val="left" w:leader="none" w:pos="709"/>
        </w:tabs>
        <w:spacing w:line="240" w:lineRule="auto"/>
        <w:ind w:left="1" w:hanging="3"/>
        <w:rPr>
          <w:rFonts w:ascii="Calibri" w:cs="Calibri" w:eastAsia="Calibri" w:hAnsi="Calibri"/>
          <w:color w:val="000000"/>
          <w:sz w:val="32"/>
          <w:szCs w:val="32"/>
        </w:rPr>
      </w:pPr>
      <w:r w:rsidDel="00000000" w:rsidR="00000000" w:rsidRPr="00000000">
        <w:rPr>
          <w:rFonts w:ascii="Calibri" w:cs="Calibri" w:eastAsia="Calibri" w:hAnsi="Calibri"/>
          <w:b w:val="1"/>
          <w:color w:val="000000"/>
          <w:sz w:val="32"/>
          <w:szCs w:val="32"/>
          <w:rtl w:val="0"/>
        </w:rPr>
        <w:t xml:space="preserve">Our social value priorities </w:t>
      </w:r>
      <w:r w:rsidDel="00000000" w:rsidR="00000000" w:rsidRPr="00000000">
        <w:rPr>
          <w:rtl w:val="0"/>
        </w:rPr>
      </w:r>
    </w:p>
    <w:p w:rsidR="00000000" w:rsidDel="00000000" w:rsidP="00000000" w:rsidRDefault="00000000" w:rsidRPr="00000000" w14:paraId="000001F0">
      <w:pPr>
        <w:shd w:fill="ffffff" w:val="clear"/>
        <w:tabs>
          <w:tab w:val="left" w:leader="none" w:pos="709"/>
        </w:tabs>
        <w:spacing w:line="240" w:lineRule="auto"/>
        <w:ind w:left="0" w:hanging="2"/>
        <w:rPr>
          <w:rFonts w:ascii="Calibri" w:cs="Calibri" w:eastAsia="Calibri" w:hAnsi="Calibri"/>
          <w:color w:val="000000"/>
          <w:sz w:val="22"/>
          <w:szCs w:val="22"/>
          <w:highlight w:val="yellow"/>
        </w:rPr>
      </w:pPr>
      <w:r w:rsidDel="00000000" w:rsidR="00000000" w:rsidRPr="00000000">
        <w:rPr>
          <w:rtl w:val="0"/>
        </w:rPr>
      </w:r>
    </w:p>
    <w:p w:rsidR="00000000" w:rsidDel="00000000" w:rsidP="00000000" w:rsidRDefault="00000000" w:rsidRPr="00000000" w14:paraId="000001F1">
      <w:pPr>
        <w:numPr>
          <w:ilvl w:val="1"/>
          <w:numId w:val="5"/>
        </w:numPr>
        <w:shd w:fill="ffffff" w:val="clear"/>
        <w:tabs>
          <w:tab w:val="left" w:leader="none" w:pos="709"/>
          <w:tab w:val="left" w:leader="none" w:pos="1134"/>
        </w:tabs>
        <w:spacing w:line="240" w:lineRule="auto"/>
        <w:ind w:left="0" w:hanging="2"/>
        <w:rPr>
          <w:color w:val="000000"/>
          <w:sz w:val="22"/>
          <w:szCs w:val="22"/>
        </w:rPr>
      </w:pPr>
      <w:r w:rsidDel="00000000" w:rsidR="00000000" w:rsidRPr="00000000">
        <w:rPr>
          <w:rFonts w:ascii="Calibri" w:cs="Calibri" w:eastAsia="Calibri" w:hAnsi="Calibri"/>
          <w:color w:val="000000"/>
          <w:sz w:val="22"/>
          <w:szCs w:val="22"/>
          <w:rtl w:val="0"/>
        </w:rPr>
        <w:t xml:space="preserve">Social value legislation places a legal requirement on all public bodies to consider the additional social, economic and environmental benefits that can be realised for individuals and communities through commissioning and procurement activity, and, in Scotland, to deliver them. These benefits are over and above the core deliverables of Contracts. General information on the Social Value Act can be found at: </w:t>
      </w:r>
    </w:p>
    <w:p w:rsidR="00000000" w:rsidDel="00000000" w:rsidP="00000000" w:rsidRDefault="00000000" w:rsidRPr="00000000" w14:paraId="000001F2">
      <w:pPr>
        <w:numPr>
          <w:ilvl w:val="2"/>
          <w:numId w:val="5"/>
        </w:numPr>
        <w:tabs>
          <w:tab w:val="left" w:leader="none" w:pos="709"/>
        </w:tabs>
        <w:spacing w:line="240" w:lineRule="auto"/>
        <w:ind w:left="0" w:hanging="2"/>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Social Value Act Introduction:  </w:t>
      </w:r>
      <w:hyperlink r:id="rId16">
        <w:r w:rsidDel="00000000" w:rsidR="00000000" w:rsidRPr="00000000">
          <w:rPr>
            <w:rFonts w:ascii="Calibri" w:cs="Calibri" w:eastAsia="Calibri" w:hAnsi="Calibri"/>
            <w:color w:val="000000"/>
            <w:sz w:val="22"/>
            <w:szCs w:val="22"/>
            <w:u w:val="single"/>
            <w:rtl w:val="0"/>
          </w:rPr>
          <w:t xml:space="preserve">https://www.gov.uk/government/publications/social-value-act-introductory-guide</w:t>
        </w:r>
      </w:hyperlink>
      <w:r w:rsidDel="00000000" w:rsidR="00000000" w:rsidRPr="00000000">
        <w:rPr>
          <w:rFonts w:ascii="Calibri" w:cs="Calibri" w:eastAsia="Calibri" w:hAnsi="Calibri"/>
          <w:color w:val="000000"/>
          <w:sz w:val="22"/>
          <w:szCs w:val="22"/>
          <w:rtl w:val="0"/>
        </w:rPr>
        <w:t xml:space="preserve">; and</w:t>
      </w:r>
    </w:p>
    <w:p w:rsidR="00000000" w:rsidDel="00000000" w:rsidP="00000000" w:rsidRDefault="00000000" w:rsidRPr="00000000" w14:paraId="000001F3">
      <w:pPr>
        <w:numPr>
          <w:ilvl w:val="2"/>
          <w:numId w:val="5"/>
        </w:numPr>
        <w:tabs>
          <w:tab w:val="left" w:leader="none" w:pos="709"/>
        </w:tabs>
        <w:spacing w:line="240" w:lineRule="auto"/>
        <w:ind w:left="0" w:hanging="2"/>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Updated Social Value Procurement Policy Note: </w:t>
      </w:r>
      <w:hyperlink r:id="rId17">
        <w:r w:rsidDel="00000000" w:rsidR="00000000" w:rsidRPr="00000000">
          <w:rPr>
            <w:rFonts w:ascii="Calibri" w:cs="Calibri" w:eastAsia="Calibri" w:hAnsi="Calibri"/>
            <w:color w:val="000000"/>
            <w:sz w:val="22"/>
            <w:szCs w:val="22"/>
            <w:u w:val="single"/>
            <w:rtl w:val="0"/>
          </w:rPr>
          <w:t xml:space="preserve">https://www.gov.uk/government/publications/procurement-policy-note-0620-taking-account-of-social-value-in-the-award-of-central-government-contracts</w:t>
        </w:r>
      </w:hyperlink>
      <w:r w:rsidDel="00000000" w:rsidR="00000000" w:rsidRPr="00000000">
        <w:rPr>
          <w:rFonts w:ascii="Calibri" w:cs="Calibri" w:eastAsia="Calibri" w:hAnsi="Calibri"/>
          <w:color w:val="000000"/>
          <w:sz w:val="22"/>
          <w:szCs w:val="22"/>
          <w:u w:val="single"/>
          <w:rtl w:val="0"/>
        </w:rPr>
        <w:t xml:space="preserve">. </w:t>
      </w:r>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1F4">
      <w:pPr>
        <w:numPr>
          <w:ilvl w:val="1"/>
          <w:numId w:val="5"/>
        </w:numPr>
        <w:tabs>
          <w:tab w:val="left" w:leader="none" w:pos="709"/>
        </w:tabs>
        <w:spacing w:line="240" w:lineRule="auto"/>
        <w:ind w:left="0" w:hanging="2"/>
        <w:rPr>
          <w:color w:val="000000"/>
          <w:sz w:val="22"/>
          <w:szCs w:val="22"/>
        </w:rPr>
      </w:pPr>
      <w:r w:rsidDel="00000000" w:rsidR="00000000" w:rsidRPr="00000000">
        <w:rPr>
          <w:rFonts w:ascii="Calibri" w:cs="Calibri" w:eastAsia="Calibri" w:hAnsi="Calibri"/>
          <w:color w:val="000000"/>
          <w:sz w:val="22"/>
          <w:szCs w:val="22"/>
          <w:rtl w:val="0"/>
        </w:rPr>
        <w:t xml:space="preserve">The following social value priorities are intrinsic to the Specification for this Framework Contract. </w:t>
      </w:r>
    </w:p>
    <w:p w:rsidR="00000000" w:rsidDel="00000000" w:rsidP="00000000" w:rsidRDefault="00000000" w:rsidRPr="00000000" w14:paraId="000001F5">
      <w:pPr>
        <w:tabs>
          <w:tab w:val="left" w:leader="none" w:pos="709"/>
        </w:tabs>
        <w:spacing w:line="240" w:lineRule="auto"/>
        <w:ind w:left="0" w:firstLine="0"/>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F6">
      <w:pPr>
        <w:numPr>
          <w:ilvl w:val="1"/>
          <w:numId w:val="5"/>
        </w:numPr>
        <w:shd w:fill="ffffff" w:val="clear"/>
        <w:tabs>
          <w:tab w:val="left" w:leader="none" w:pos="709"/>
        </w:tabs>
        <w:spacing w:line="240" w:lineRule="auto"/>
        <w:ind w:left="0" w:hanging="2"/>
        <w:rPr>
          <w:color w:val="000000"/>
          <w:sz w:val="22"/>
          <w:szCs w:val="22"/>
        </w:rPr>
      </w:pPr>
      <w:r w:rsidDel="00000000" w:rsidR="00000000" w:rsidRPr="00000000">
        <w:rPr>
          <w:rFonts w:ascii="Calibri" w:cs="Calibri" w:eastAsia="Calibri" w:hAnsi="Calibri"/>
          <w:b w:val="1"/>
          <w:color w:val="000000"/>
          <w:sz w:val="22"/>
          <w:szCs w:val="22"/>
          <w:highlight w:val="white"/>
          <w:rtl w:val="0"/>
        </w:rPr>
        <w:t xml:space="preserve">Tackling economic inequality </w:t>
      </w:r>
      <w:r w:rsidDel="00000000" w:rsidR="00000000" w:rsidRPr="00000000">
        <w:rPr>
          <w:rtl w:val="0"/>
        </w:rPr>
      </w:r>
    </w:p>
    <w:p w:rsidR="00000000" w:rsidDel="00000000" w:rsidP="00000000" w:rsidRDefault="00000000" w:rsidRPr="00000000" w14:paraId="000001F7">
      <w:pPr>
        <w:numPr>
          <w:ilvl w:val="2"/>
          <w:numId w:val="5"/>
        </w:numPr>
        <w:shd w:fill="ffffff" w:val="clea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Create new businesses, new jobs and new skills;</w:t>
      </w:r>
      <w:r w:rsidDel="00000000" w:rsidR="00000000" w:rsidRPr="00000000">
        <w:rPr>
          <w:rFonts w:ascii="Calibri" w:cs="Calibri" w:eastAsia="Calibri" w:hAnsi="Calibri"/>
          <w:color w:val="000000"/>
          <w:sz w:val="22"/>
          <w:szCs w:val="22"/>
          <w:highlight w:val="white"/>
          <w:rtl w:val="0"/>
        </w:rPr>
        <w:t xml:space="preserve"> </w:t>
      </w:r>
      <w:r w:rsidDel="00000000" w:rsidR="00000000" w:rsidRPr="00000000">
        <w:rPr>
          <w:rtl w:val="0"/>
        </w:rPr>
      </w:r>
    </w:p>
    <w:p w:rsidR="00000000" w:rsidDel="00000000" w:rsidP="00000000" w:rsidRDefault="00000000" w:rsidRPr="00000000" w14:paraId="000001F8">
      <w:pPr>
        <w:numPr>
          <w:ilvl w:val="2"/>
          <w:numId w:val="5"/>
        </w:numPr>
        <w:shd w:fill="ffffff" w:val="clea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Increase supply chain resilience and capacity; and</w:t>
      </w:r>
    </w:p>
    <w:p w:rsidR="00000000" w:rsidDel="00000000" w:rsidP="00000000" w:rsidRDefault="00000000" w:rsidRPr="00000000" w14:paraId="000001F9">
      <w:pPr>
        <w:pStyle w:val="Heading2"/>
        <w:keepNext w:val="0"/>
        <w:keepLines w:val="0"/>
        <w:numPr>
          <w:ilvl w:val="2"/>
          <w:numId w:val="5"/>
        </w:numPr>
        <w:tabs>
          <w:tab w:val="left" w:leader="none" w:pos="709"/>
        </w:tabs>
        <w:spacing w:before="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Manage cyber security risks. </w:t>
      </w:r>
    </w:p>
    <w:p w:rsidR="00000000" w:rsidDel="00000000" w:rsidP="00000000" w:rsidRDefault="00000000" w:rsidRPr="00000000" w14:paraId="000001FA">
      <w:pPr>
        <w:pStyle w:val="Heading2"/>
        <w:keepNext w:val="0"/>
        <w:keepLines w:val="0"/>
        <w:tabs>
          <w:tab w:val="left" w:leader="none" w:pos="709"/>
        </w:tabs>
        <w:spacing w:before="0" w:line="240" w:lineRule="auto"/>
        <w:ind w:left="0" w:firstLine="0"/>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1FB">
      <w:pPr>
        <w:numPr>
          <w:ilvl w:val="1"/>
          <w:numId w:val="5"/>
        </w:numPr>
        <w:tabs>
          <w:tab w:val="left" w:leader="none" w:pos="709"/>
        </w:tabs>
        <w:spacing w:line="240" w:lineRule="auto"/>
        <w:ind w:left="0" w:hanging="2"/>
        <w:rPr>
          <w:color w:val="000000"/>
          <w:sz w:val="22"/>
          <w:szCs w:val="22"/>
        </w:rPr>
      </w:pPr>
      <w:r w:rsidDel="00000000" w:rsidR="00000000" w:rsidRPr="00000000">
        <w:rPr>
          <w:rFonts w:ascii="Calibri" w:cs="Calibri" w:eastAsia="Calibri" w:hAnsi="Calibri"/>
          <w:b w:val="1"/>
          <w:color w:val="000000"/>
          <w:sz w:val="22"/>
          <w:szCs w:val="22"/>
          <w:rtl w:val="0"/>
        </w:rPr>
        <w:t xml:space="preserve">Fighting climate change</w:t>
      </w:r>
      <w:r w:rsidDel="00000000" w:rsidR="00000000" w:rsidRPr="00000000">
        <w:rPr>
          <w:rFonts w:ascii="Calibri" w:cs="Calibri" w:eastAsia="Calibri" w:hAnsi="Calibri"/>
          <w:color w:val="000000"/>
          <w:sz w:val="22"/>
          <w:szCs w:val="22"/>
          <w:rtl w:val="0"/>
        </w:rPr>
        <w:t xml:space="preserve"> </w:t>
      </w:r>
      <w:r w:rsidDel="00000000" w:rsidR="00000000" w:rsidRPr="00000000">
        <w:rPr>
          <w:rtl w:val="0"/>
        </w:rPr>
      </w:r>
    </w:p>
    <w:p w:rsidR="00000000" w:rsidDel="00000000" w:rsidP="00000000" w:rsidRDefault="00000000" w:rsidRPr="00000000" w14:paraId="000001FC">
      <w:pPr>
        <w:numPr>
          <w:ilvl w:val="2"/>
          <w:numId w:val="5"/>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Effective Stewardship of the environment.  </w:t>
      </w:r>
    </w:p>
    <w:p w:rsidR="00000000" w:rsidDel="00000000" w:rsidP="00000000" w:rsidRDefault="00000000" w:rsidRPr="00000000" w14:paraId="000001FD">
      <w:pPr>
        <w:tabs>
          <w:tab w:val="left" w:leader="none" w:pos="709"/>
        </w:tabs>
        <w:spacing w:line="240" w:lineRule="auto"/>
        <w:ind w:left="0" w:firstLine="0"/>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FE">
      <w:pPr>
        <w:numPr>
          <w:ilvl w:val="1"/>
          <w:numId w:val="5"/>
        </w:numPr>
        <w:tabs>
          <w:tab w:val="left" w:leader="none" w:pos="709"/>
        </w:tabs>
        <w:spacing w:line="240" w:lineRule="auto"/>
        <w:ind w:left="0" w:hanging="2"/>
        <w:rPr>
          <w:color w:val="000000"/>
          <w:sz w:val="22"/>
          <w:szCs w:val="22"/>
        </w:rPr>
      </w:pPr>
      <w:r w:rsidDel="00000000" w:rsidR="00000000" w:rsidRPr="00000000">
        <w:rPr>
          <w:rFonts w:ascii="Calibri" w:cs="Calibri" w:eastAsia="Calibri" w:hAnsi="Calibri"/>
          <w:b w:val="1"/>
          <w:color w:val="000000"/>
          <w:sz w:val="22"/>
          <w:szCs w:val="22"/>
          <w:rtl w:val="0"/>
        </w:rPr>
        <w:t xml:space="preserve">Equal opportunity </w:t>
      </w:r>
      <w:r w:rsidDel="00000000" w:rsidR="00000000" w:rsidRPr="00000000">
        <w:rPr>
          <w:rtl w:val="0"/>
        </w:rPr>
      </w:r>
    </w:p>
    <w:p w:rsidR="00000000" w:rsidDel="00000000" w:rsidP="00000000" w:rsidRDefault="00000000" w:rsidRPr="00000000" w14:paraId="000001FF">
      <w:pPr>
        <w:numPr>
          <w:ilvl w:val="2"/>
          <w:numId w:val="5"/>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Reduce the disability employment gap; and</w:t>
      </w:r>
    </w:p>
    <w:p w:rsidR="00000000" w:rsidDel="00000000" w:rsidP="00000000" w:rsidRDefault="00000000" w:rsidRPr="00000000" w14:paraId="00000200">
      <w:pPr>
        <w:numPr>
          <w:ilvl w:val="2"/>
          <w:numId w:val="5"/>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Tackle workforce inequality. </w:t>
      </w:r>
    </w:p>
    <w:p w:rsidR="00000000" w:rsidDel="00000000" w:rsidP="00000000" w:rsidRDefault="00000000" w:rsidRPr="00000000" w14:paraId="00000201">
      <w:pPr>
        <w:numPr>
          <w:ilvl w:val="2"/>
          <w:numId w:val="5"/>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Buyers may identify further specific social value priorities based on the updated social value themes during a Call-Off Procedure. </w:t>
      </w:r>
    </w:p>
    <w:p w:rsidR="00000000" w:rsidDel="00000000" w:rsidP="00000000" w:rsidRDefault="00000000" w:rsidRPr="00000000" w14:paraId="00000202">
      <w:pPr>
        <w:shd w:fill="ffffff" w:val="clear"/>
        <w:tabs>
          <w:tab w:val="left" w:leader="none" w:pos="709"/>
        </w:tabs>
        <w:spacing w:line="240" w:lineRule="auto"/>
        <w:ind w:left="0" w:firstLine="0"/>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03">
      <w:pPr>
        <w:numPr>
          <w:ilvl w:val="1"/>
          <w:numId w:val="5"/>
        </w:numPr>
        <w:tabs>
          <w:tab w:val="left" w:leader="none" w:pos="709"/>
        </w:tabs>
        <w:spacing w:line="240" w:lineRule="auto"/>
        <w:ind w:left="0" w:hanging="2"/>
        <w:rPr>
          <w:color w:val="000000"/>
          <w:sz w:val="22"/>
          <w:szCs w:val="22"/>
          <w:highlight w:val="white"/>
        </w:rPr>
      </w:pPr>
      <w:r w:rsidDel="00000000" w:rsidR="00000000" w:rsidRPr="00000000">
        <w:rPr>
          <w:rFonts w:ascii="Calibri" w:cs="Calibri" w:eastAsia="Calibri" w:hAnsi="Calibri"/>
          <w:b w:val="1"/>
          <w:color w:val="000000"/>
          <w:sz w:val="22"/>
          <w:szCs w:val="22"/>
          <w:highlight w:val="white"/>
          <w:rtl w:val="0"/>
        </w:rPr>
        <w:t xml:space="preserve">Tackling economic equality</w:t>
      </w:r>
      <w:r w:rsidDel="00000000" w:rsidR="00000000" w:rsidRPr="00000000">
        <w:rPr>
          <w:rtl w:val="0"/>
        </w:rPr>
      </w:r>
    </w:p>
    <w:p w:rsidR="00000000" w:rsidDel="00000000" w:rsidP="00000000" w:rsidRDefault="00000000" w:rsidRPr="00000000" w14:paraId="00000204">
      <w:pPr>
        <w:numPr>
          <w:ilvl w:val="3"/>
          <w:numId w:val="5"/>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Create new businesses, new jobs and new skills;</w:t>
      </w:r>
    </w:p>
    <w:p w:rsidR="00000000" w:rsidDel="00000000" w:rsidP="00000000" w:rsidRDefault="00000000" w:rsidRPr="00000000" w14:paraId="00000205">
      <w:pPr>
        <w:numPr>
          <w:ilvl w:val="3"/>
          <w:numId w:val="5"/>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CCS and Buyer(s) encourage Suppliers to work with small, medium and large organisations and voluntary, community and social enterprises to address the technology skills shortage across the public sector. Support proactive measures for upskilling the workforce and improving technology literacy will be considered as high-quality delivery of public services. This is considered fundamental for cultivating a workforce that is inclusive, well-motivated, well-led and has appropriate opportunities for training and skills development;</w:t>
      </w:r>
    </w:p>
    <w:p w:rsidR="00000000" w:rsidDel="00000000" w:rsidP="00000000" w:rsidRDefault="00000000" w:rsidRPr="00000000" w14:paraId="00000206">
      <w:pPr>
        <w:numPr>
          <w:ilvl w:val="3"/>
          <w:numId w:val="5"/>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Additionally, all organisations with 250 or more employees must publish and report specific figures about their gender pay gap, and we expect Suppliers to progress towards equalising this;</w:t>
      </w:r>
    </w:p>
    <w:p w:rsidR="00000000" w:rsidDel="00000000" w:rsidP="00000000" w:rsidRDefault="00000000" w:rsidRPr="00000000" w14:paraId="00000207">
      <w:pPr>
        <w:numPr>
          <w:ilvl w:val="3"/>
          <w:numId w:val="5"/>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CCS expects our Suppliers and Supplier supply chains to support and encourage employment and skills development opportunities for priority groups, including (but not limited to): </w:t>
      </w:r>
    </w:p>
    <w:p w:rsidR="00000000" w:rsidDel="00000000" w:rsidP="00000000" w:rsidRDefault="00000000" w:rsidRPr="00000000" w14:paraId="00000208">
      <w:pPr>
        <w:numPr>
          <w:ilvl w:val="4"/>
          <w:numId w:val="5"/>
        </w:numPr>
        <w:shd w:fill="ffffff" w:val="clea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people with disabilities;</w:t>
      </w:r>
    </w:p>
    <w:p w:rsidR="00000000" w:rsidDel="00000000" w:rsidP="00000000" w:rsidRDefault="00000000" w:rsidRPr="00000000" w14:paraId="00000209">
      <w:pPr>
        <w:numPr>
          <w:ilvl w:val="4"/>
          <w:numId w:val="5"/>
        </w:numPr>
        <w:shd w:fill="ffffff" w:val="clea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ex-offenders;</w:t>
      </w:r>
    </w:p>
    <w:p w:rsidR="00000000" w:rsidDel="00000000" w:rsidP="00000000" w:rsidRDefault="00000000" w:rsidRPr="00000000" w14:paraId="0000020A">
      <w:pPr>
        <w:numPr>
          <w:ilvl w:val="4"/>
          <w:numId w:val="5"/>
        </w:numPr>
        <w:shd w:fill="ffffff" w:val="clea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black and minority ethnic groups; and</w:t>
      </w:r>
    </w:p>
    <w:p w:rsidR="00000000" w:rsidDel="00000000" w:rsidP="00000000" w:rsidRDefault="00000000" w:rsidRPr="00000000" w14:paraId="0000020B">
      <w:pPr>
        <w:numPr>
          <w:ilvl w:val="4"/>
          <w:numId w:val="5"/>
        </w:numPr>
        <w:shd w:fill="ffffff" w:val="clea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long-term unemployed.</w:t>
      </w:r>
    </w:p>
    <w:p w:rsidR="00000000" w:rsidDel="00000000" w:rsidP="00000000" w:rsidRDefault="00000000" w:rsidRPr="00000000" w14:paraId="0000020C">
      <w:pPr>
        <w:numPr>
          <w:ilvl w:val="3"/>
          <w:numId w:val="5"/>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Support for upskilling may be through various activities. For example:</w:t>
      </w:r>
    </w:p>
    <w:p w:rsidR="00000000" w:rsidDel="00000000" w:rsidP="00000000" w:rsidRDefault="00000000" w:rsidRPr="00000000" w14:paraId="0000020D">
      <w:pPr>
        <w:numPr>
          <w:ilvl w:val="4"/>
          <w:numId w:val="5"/>
        </w:numPr>
        <w:shd w:fill="ffffff" w:val="clea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Apprenticeship and work experience placements;</w:t>
      </w:r>
    </w:p>
    <w:p w:rsidR="00000000" w:rsidDel="00000000" w:rsidP="00000000" w:rsidRDefault="00000000" w:rsidRPr="00000000" w14:paraId="0000020E">
      <w:pPr>
        <w:numPr>
          <w:ilvl w:val="4"/>
          <w:numId w:val="5"/>
        </w:numPr>
        <w:shd w:fill="ffffff" w:val="clea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Co-creation and/or co-design of services;</w:t>
      </w:r>
    </w:p>
    <w:p w:rsidR="00000000" w:rsidDel="00000000" w:rsidP="00000000" w:rsidRDefault="00000000" w:rsidRPr="00000000" w14:paraId="0000020F">
      <w:pPr>
        <w:numPr>
          <w:ilvl w:val="4"/>
          <w:numId w:val="5"/>
        </w:numPr>
        <w:shd w:fill="ffffff" w:val="clea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Part-time and full-time employment and flexible working opportunities;</w:t>
      </w:r>
    </w:p>
    <w:p w:rsidR="00000000" w:rsidDel="00000000" w:rsidP="00000000" w:rsidRDefault="00000000" w:rsidRPr="00000000" w14:paraId="00000210">
      <w:pPr>
        <w:numPr>
          <w:ilvl w:val="4"/>
          <w:numId w:val="5"/>
        </w:numPr>
        <w:shd w:fill="ffffff" w:val="clea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Supporting individuals to fulfil their potential with further education, employment or training e.g. coaching, mentoring, CV and interview skills;</w:t>
      </w:r>
    </w:p>
    <w:p w:rsidR="00000000" w:rsidDel="00000000" w:rsidP="00000000" w:rsidRDefault="00000000" w:rsidRPr="00000000" w14:paraId="00000211">
      <w:pPr>
        <w:numPr>
          <w:ilvl w:val="4"/>
          <w:numId w:val="5"/>
        </w:numPr>
        <w:shd w:fill="ffffff" w:val="clea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Providing funded training and professional development opportunities for existing employees;</w:t>
      </w:r>
    </w:p>
    <w:p w:rsidR="00000000" w:rsidDel="00000000" w:rsidP="00000000" w:rsidRDefault="00000000" w:rsidRPr="00000000" w14:paraId="00000212">
      <w:pPr>
        <w:numPr>
          <w:ilvl w:val="4"/>
          <w:numId w:val="5"/>
        </w:numPr>
        <w:shd w:fill="ffffff" w:val="clea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Providing funded training opportunities (for individuals not employed by Supplier);</w:t>
      </w:r>
    </w:p>
    <w:p w:rsidR="00000000" w:rsidDel="00000000" w:rsidP="00000000" w:rsidRDefault="00000000" w:rsidRPr="00000000" w14:paraId="00000213">
      <w:pPr>
        <w:numPr>
          <w:ilvl w:val="4"/>
          <w:numId w:val="5"/>
        </w:numPr>
        <w:shd w:fill="ffffff" w:val="clea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Actively identify opportunities to grow Supplier diversity;</w:t>
      </w:r>
    </w:p>
    <w:p w:rsidR="00000000" w:rsidDel="00000000" w:rsidP="00000000" w:rsidRDefault="00000000" w:rsidRPr="00000000" w14:paraId="00000214">
      <w:pPr>
        <w:numPr>
          <w:ilvl w:val="4"/>
          <w:numId w:val="5"/>
        </w:numPr>
        <w:shd w:fill="ffffff" w:val="clea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Fair and equal pay policy; and</w:t>
      </w:r>
    </w:p>
    <w:p w:rsidR="00000000" w:rsidDel="00000000" w:rsidP="00000000" w:rsidRDefault="00000000" w:rsidRPr="00000000" w14:paraId="00000215">
      <w:pPr>
        <w:numPr>
          <w:ilvl w:val="4"/>
          <w:numId w:val="5"/>
        </w:numPr>
        <w:shd w:fill="ffffff" w:val="clea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Offering a range of employee assistance schemes. </w:t>
      </w:r>
    </w:p>
    <w:p w:rsidR="00000000" w:rsidDel="00000000" w:rsidP="00000000" w:rsidRDefault="00000000" w:rsidRPr="00000000" w14:paraId="00000216">
      <w:pPr>
        <w:numPr>
          <w:ilvl w:val="3"/>
          <w:numId w:val="5"/>
        </w:numPr>
        <w:shd w:fill="ffffff" w:val="clear"/>
        <w:tabs>
          <w:tab w:val="left" w:leader="none" w:pos="709"/>
        </w:tabs>
        <w:spacing w:line="240" w:lineRule="auto"/>
        <w:ind w:left="0" w:hanging="2"/>
        <w:rPr>
          <w:rFonts w:ascii="Calibri" w:cs="Calibri" w:eastAsia="Calibri" w:hAnsi="Calibri"/>
          <w:color w:val="000000"/>
          <w:sz w:val="22"/>
          <w:szCs w:val="22"/>
        </w:rPr>
      </w:pPr>
      <w:bookmarkStart w:colFirst="0" w:colLast="0" w:name="_ihv636" w:id="34"/>
      <w:bookmarkEnd w:id="34"/>
      <w:r w:rsidDel="00000000" w:rsidR="00000000" w:rsidRPr="00000000">
        <w:rPr>
          <w:rFonts w:ascii="Calibri" w:cs="Calibri" w:eastAsia="Calibri" w:hAnsi="Calibri"/>
          <w:color w:val="000000"/>
          <w:sz w:val="22"/>
          <w:szCs w:val="22"/>
          <w:rtl w:val="0"/>
        </w:rPr>
        <w:t xml:space="preserve">We encourage Suppliers to diversify their supply chain in line with our goal to increase supply chain resilience, see paragraph 9.3.2. Buyers may test Suppliers’ proposed methods for delivering skills development and monitor performance as relevant to their specific requirements as part of the Call-Off Procedure.</w:t>
      </w:r>
    </w:p>
    <w:p w:rsidR="00000000" w:rsidDel="00000000" w:rsidP="00000000" w:rsidRDefault="00000000" w:rsidRPr="00000000" w14:paraId="00000217">
      <w:pPr>
        <w:pStyle w:val="Heading5"/>
        <w:keepNext w:val="1"/>
        <w:keepLines w:val="1"/>
        <w:tabs>
          <w:tab w:val="left" w:leader="none" w:pos="709"/>
          <w:tab w:val="left" w:leader="none" w:pos="-10625"/>
          <w:tab w:val="left" w:leader="none" w:pos="-4331"/>
        </w:tabs>
        <w:spacing w:after="0" w:lineRule="auto"/>
        <w:jc w:val="left"/>
        <w:rPr>
          <w:rFonts w:ascii="Calibri" w:cs="Calibri" w:eastAsia="Calibri" w:hAnsi="Calibri"/>
          <w:color w:val="000000"/>
          <w:sz w:val="22"/>
          <w:szCs w:val="22"/>
          <w:highlight w:val="white"/>
        </w:rPr>
      </w:pPr>
      <w:r w:rsidDel="00000000" w:rsidR="00000000" w:rsidRPr="00000000">
        <w:rPr>
          <w:rtl w:val="0"/>
        </w:rPr>
      </w:r>
    </w:p>
    <w:p w:rsidR="00000000" w:rsidDel="00000000" w:rsidP="00000000" w:rsidRDefault="00000000" w:rsidRPr="00000000" w14:paraId="00000218">
      <w:pPr>
        <w:pStyle w:val="Heading5"/>
        <w:keepNext w:val="1"/>
        <w:keepLines w:val="1"/>
        <w:numPr>
          <w:ilvl w:val="1"/>
          <w:numId w:val="6"/>
        </w:numPr>
        <w:tabs>
          <w:tab w:val="left" w:leader="none" w:pos="709"/>
          <w:tab w:val="left" w:leader="none" w:pos="-10625"/>
          <w:tab w:val="left" w:leader="none" w:pos="-4331"/>
        </w:tabs>
        <w:spacing w:after="0" w:lineRule="auto"/>
        <w:ind w:left="0" w:hanging="567"/>
        <w:jc w:val="left"/>
        <w:rPr>
          <w:color w:val="000000"/>
        </w:rPr>
      </w:pPr>
      <w:r w:rsidDel="00000000" w:rsidR="00000000" w:rsidRPr="00000000">
        <w:rPr>
          <w:rFonts w:ascii="Calibri" w:cs="Calibri" w:eastAsia="Calibri" w:hAnsi="Calibri"/>
          <w:b w:val="1"/>
          <w:color w:val="000000"/>
          <w:sz w:val="22"/>
          <w:szCs w:val="22"/>
          <w:rtl w:val="0"/>
        </w:rPr>
        <w:t xml:space="preserve">Increase supply chain resilience and capacity</w:t>
      </w:r>
      <w:r w:rsidDel="00000000" w:rsidR="00000000" w:rsidRPr="00000000">
        <w:rPr>
          <w:rtl w:val="0"/>
        </w:rPr>
      </w:r>
    </w:p>
    <w:p w:rsidR="00000000" w:rsidDel="00000000" w:rsidP="00000000" w:rsidRDefault="00000000" w:rsidRPr="00000000" w14:paraId="00000219">
      <w:pPr>
        <w:numPr>
          <w:ilvl w:val="3"/>
          <w:numId w:val="5"/>
        </w:numPr>
        <w:shd w:fill="ffffff" w:val="clear"/>
        <w:tabs>
          <w:tab w:val="left" w:leader="none" w:pos="709"/>
        </w:tabs>
        <w:spacing w:line="240" w:lineRule="auto"/>
        <w:ind w:left="0" w:hanging="2"/>
        <w:rPr>
          <w:rFonts w:ascii="Calibri" w:cs="Calibri" w:eastAsia="Calibri" w:hAnsi="Calibri"/>
          <w:color w:val="000000"/>
          <w:sz w:val="22"/>
          <w:szCs w:val="22"/>
          <w:highlight w:val="white"/>
        </w:rPr>
      </w:pPr>
      <w:r w:rsidDel="00000000" w:rsidR="00000000" w:rsidRPr="00000000">
        <w:rPr>
          <w:rFonts w:ascii="Calibri" w:cs="Calibri" w:eastAsia="Calibri" w:hAnsi="Calibri"/>
          <w:color w:val="000000"/>
          <w:sz w:val="22"/>
          <w:szCs w:val="22"/>
          <w:highlight w:val="white"/>
          <w:rtl w:val="0"/>
        </w:rPr>
        <w:t xml:space="preserve">CCS and Buyer(s) want to ensure a diverse base of Suppliers and resilient supply chains; this is a key focus at a Framework level. CCS and Buyer(s) expect that Suppliers collaborate with SMEs to ensure the service and products provided remain relevant and of high quality. </w:t>
      </w:r>
    </w:p>
    <w:p w:rsidR="00000000" w:rsidDel="00000000" w:rsidP="00000000" w:rsidRDefault="00000000" w:rsidRPr="00000000" w14:paraId="0000021A">
      <w:pPr>
        <w:numPr>
          <w:ilvl w:val="3"/>
          <w:numId w:val="5"/>
        </w:numPr>
        <w:shd w:fill="ffffff" w:val="clear"/>
        <w:tabs>
          <w:tab w:val="left" w:leader="none" w:pos="709"/>
        </w:tabs>
        <w:spacing w:line="240" w:lineRule="auto"/>
        <w:ind w:left="0" w:hanging="2"/>
        <w:rPr>
          <w:rFonts w:ascii="Calibri" w:cs="Calibri" w:eastAsia="Calibri" w:hAnsi="Calibri"/>
          <w:color w:val="000000"/>
          <w:sz w:val="22"/>
          <w:szCs w:val="22"/>
          <w:highlight w:val="white"/>
        </w:rPr>
      </w:pPr>
      <w:r w:rsidDel="00000000" w:rsidR="00000000" w:rsidRPr="00000000">
        <w:rPr>
          <w:rFonts w:ascii="Calibri" w:cs="Calibri" w:eastAsia="Calibri" w:hAnsi="Calibri"/>
          <w:color w:val="000000"/>
          <w:sz w:val="22"/>
          <w:szCs w:val="22"/>
          <w:highlight w:val="white"/>
          <w:rtl w:val="0"/>
        </w:rPr>
        <w:t xml:space="preserve">We expect our Suppliers to support and build supply chain diversity through:</w:t>
      </w:r>
    </w:p>
    <w:p w:rsidR="00000000" w:rsidDel="00000000" w:rsidP="00000000" w:rsidRDefault="00000000" w:rsidRPr="00000000" w14:paraId="0000021B">
      <w:pPr>
        <w:numPr>
          <w:ilvl w:val="4"/>
          <w:numId w:val="5"/>
        </w:numPr>
        <w:shd w:fill="ffffff" w:val="clea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Subcontracting opportunities to SMEs and social enterprises (‘SEs’), including the advertisement of all subcontracting opportunities over £10,000 on contracts finder as per Joint Schedule 12, Supply Chain Visibility; </w:t>
      </w:r>
    </w:p>
    <w:p w:rsidR="00000000" w:rsidDel="00000000" w:rsidP="00000000" w:rsidRDefault="00000000" w:rsidRPr="00000000" w14:paraId="0000021C">
      <w:pPr>
        <w:numPr>
          <w:ilvl w:val="4"/>
          <w:numId w:val="5"/>
        </w:numPr>
        <w:shd w:fill="ffffff" w:val="clea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Enabling</w:t>
      </w:r>
      <w:r w:rsidDel="00000000" w:rsidR="00000000" w:rsidRPr="00000000">
        <w:rPr>
          <w:rFonts w:ascii="Calibri" w:cs="Calibri" w:eastAsia="Calibri" w:hAnsi="Calibri"/>
          <w:color w:val="000000"/>
          <w:sz w:val="22"/>
          <w:szCs w:val="22"/>
          <w:highlight w:val="white"/>
          <w:rtl w:val="0"/>
        </w:rPr>
        <w:t xml:space="preserve"> accessibility through promotion of supply chain opportunities with SMEs and SEs;</w:t>
      </w:r>
      <w:r w:rsidDel="00000000" w:rsidR="00000000" w:rsidRPr="00000000">
        <w:rPr>
          <w:rtl w:val="0"/>
        </w:rPr>
      </w:r>
    </w:p>
    <w:p w:rsidR="00000000" w:rsidDel="00000000" w:rsidP="00000000" w:rsidRDefault="00000000" w:rsidRPr="00000000" w14:paraId="0000021D">
      <w:pPr>
        <w:numPr>
          <w:ilvl w:val="4"/>
          <w:numId w:val="5"/>
        </w:numPr>
        <w:shd w:fill="ffffff" w:val="clear"/>
        <w:tabs>
          <w:tab w:val="left" w:leader="none" w:pos="709"/>
        </w:tabs>
        <w:spacing w:line="240" w:lineRule="auto"/>
        <w:ind w:left="0" w:hanging="2"/>
        <w:rPr>
          <w:rFonts w:ascii="Calibri" w:cs="Calibri" w:eastAsia="Calibri" w:hAnsi="Calibri"/>
          <w:color w:val="000000"/>
          <w:sz w:val="22"/>
          <w:szCs w:val="22"/>
          <w:highlight w:val="white"/>
        </w:rPr>
      </w:pPr>
      <w:r w:rsidDel="00000000" w:rsidR="00000000" w:rsidRPr="00000000">
        <w:rPr>
          <w:rFonts w:ascii="Calibri" w:cs="Calibri" w:eastAsia="Calibri" w:hAnsi="Calibri"/>
          <w:color w:val="000000"/>
          <w:sz w:val="22"/>
          <w:szCs w:val="22"/>
          <w:highlight w:val="white"/>
          <w:rtl w:val="0"/>
        </w:rPr>
        <w:t xml:space="preserve">Supply chain processes that enable the participation of micro, SMEs and SEs;</w:t>
      </w:r>
    </w:p>
    <w:p w:rsidR="00000000" w:rsidDel="00000000" w:rsidP="00000000" w:rsidRDefault="00000000" w:rsidRPr="00000000" w14:paraId="0000021E">
      <w:pPr>
        <w:numPr>
          <w:ilvl w:val="4"/>
          <w:numId w:val="5"/>
        </w:numPr>
        <w:shd w:fill="ffffff" w:val="clear"/>
        <w:tabs>
          <w:tab w:val="left" w:leader="none" w:pos="709"/>
        </w:tabs>
        <w:spacing w:line="240" w:lineRule="auto"/>
        <w:ind w:left="0" w:hanging="2"/>
        <w:rPr>
          <w:rFonts w:ascii="Calibri" w:cs="Calibri" w:eastAsia="Calibri" w:hAnsi="Calibri"/>
          <w:color w:val="000000"/>
          <w:sz w:val="22"/>
          <w:szCs w:val="22"/>
          <w:highlight w:val="white"/>
        </w:rPr>
      </w:pPr>
      <w:r w:rsidDel="00000000" w:rsidR="00000000" w:rsidRPr="00000000">
        <w:rPr>
          <w:rFonts w:ascii="Calibri" w:cs="Calibri" w:eastAsia="Calibri" w:hAnsi="Calibri"/>
          <w:color w:val="000000"/>
          <w:sz w:val="22"/>
          <w:szCs w:val="22"/>
          <w:highlight w:val="white"/>
          <w:rtl w:val="0"/>
        </w:rPr>
        <w:t xml:space="preserve">Cascading prompt payment throughout Supplier supply chains as per Paragraph 4: Pricing and Payments of the Core Terms;</w:t>
      </w:r>
    </w:p>
    <w:p w:rsidR="00000000" w:rsidDel="00000000" w:rsidP="00000000" w:rsidRDefault="00000000" w:rsidRPr="00000000" w14:paraId="0000021F">
      <w:pPr>
        <w:numPr>
          <w:ilvl w:val="4"/>
          <w:numId w:val="5"/>
        </w:numPr>
        <w:shd w:fill="ffffff" w:val="clea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Growth</w:t>
      </w:r>
      <w:r w:rsidDel="00000000" w:rsidR="00000000" w:rsidRPr="00000000">
        <w:rPr>
          <w:rFonts w:ascii="Calibri" w:cs="Calibri" w:eastAsia="Calibri" w:hAnsi="Calibri"/>
          <w:color w:val="000000"/>
          <w:sz w:val="22"/>
          <w:szCs w:val="22"/>
          <w:highlight w:val="white"/>
          <w:rtl w:val="0"/>
        </w:rPr>
        <w:t xml:space="preserve"> and development through provision of advice and support to SMEs and SEs to develop resilient local supply chains; and</w:t>
      </w:r>
      <w:r w:rsidDel="00000000" w:rsidR="00000000" w:rsidRPr="00000000">
        <w:rPr>
          <w:rtl w:val="0"/>
        </w:rPr>
      </w:r>
    </w:p>
    <w:p w:rsidR="00000000" w:rsidDel="00000000" w:rsidP="00000000" w:rsidRDefault="00000000" w:rsidRPr="00000000" w14:paraId="00000220">
      <w:pPr>
        <w:numPr>
          <w:ilvl w:val="4"/>
          <w:numId w:val="5"/>
        </w:numPr>
        <w:shd w:fill="ffffff" w:val="clear"/>
        <w:tabs>
          <w:tab w:val="left" w:leader="none" w:pos="709"/>
        </w:tabs>
        <w:spacing w:line="240" w:lineRule="auto"/>
        <w:ind w:left="0" w:hanging="2"/>
        <w:rPr>
          <w:rFonts w:ascii="Calibri" w:cs="Calibri" w:eastAsia="Calibri" w:hAnsi="Calibri"/>
          <w:color w:val="000000"/>
          <w:sz w:val="22"/>
          <w:szCs w:val="22"/>
          <w:highlight w:val="white"/>
        </w:rPr>
      </w:pPr>
      <w:r w:rsidDel="00000000" w:rsidR="00000000" w:rsidRPr="00000000">
        <w:rPr>
          <w:rFonts w:ascii="Calibri" w:cs="Calibri" w:eastAsia="Calibri" w:hAnsi="Calibri"/>
          <w:color w:val="000000"/>
          <w:sz w:val="22"/>
          <w:szCs w:val="22"/>
          <w:highlight w:val="white"/>
          <w:rtl w:val="0"/>
        </w:rPr>
        <w:t xml:space="preserve">Learning and development opportunities to improve data literacy in the supply chain and public sector. </w:t>
      </w:r>
    </w:p>
    <w:p w:rsidR="00000000" w:rsidDel="00000000" w:rsidP="00000000" w:rsidRDefault="00000000" w:rsidRPr="00000000" w14:paraId="00000221">
      <w:pPr>
        <w:numPr>
          <w:ilvl w:val="3"/>
          <w:numId w:val="5"/>
        </w:numPr>
        <w:shd w:fill="ffffff" w:val="clea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Buyers may test Suppliers’ methods for diversifying their supply chain and provision of services under specific requirements as part of the Call-Off Procedure. Appropriate cyber security measures must be in line with paragraph 9.7.3 Managing cyber security risks. </w:t>
      </w:r>
    </w:p>
    <w:p w:rsidR="00000000" w:rsidDel="00000000" w:rsidP="00000000" w:rsidRDefault="00000000" w:rsidRPr="00000000" w14:paraId="00000222">
      <w:pPr>
        <w:shd w:fill="ffffff" w:val="clear"/>
        <w:tabs>
          <w:tab w:val="left" w:leader="none" w:pos="709"/>
        </w:tabs>
        <w:spacing w:line="240" w:lineRule="auto"/>
        <w:ind w:left="0" w:hanging="2"/>
        <w:rPr>
          <w:rFonts w:ascii="Calibri" w:cs="Calibri" w:eastAsia="Calibri" w:hAnsi="Calibri"/>
          <w:color w:val="000000"/>
          <w:sz w:val="22"/>
          <w:szCs w:val="22"/>
          <w:shd w:fill="d9d9d9" w:val="clear"/>
        </w:rPr>
      </w:pPr>
      <w:bookmarkStart w:colFirst="0" w:colLast="0" w:name="_32hioqz" w:id="35"/>
      <w:bookmarkEnd w:id="35"/>
      <w:r w:rsidDel="00000000" w:rsidR="00000000" w:rsidRPr="00000000">
        <w:rPr>
          <w:rtl w:val="0"/>
        </w:rPr>
      </w:r>
    </w:p>
    <w:p w:rsidR="00000000" w:rsidDel="00000000" w:rsidP="00000000" w:rsidRDefault="00000000" w:rsidRPr="00000000" w14:paraId="0000022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hanging="709"/>
        <w:jc w:val="both"/>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Managing cyber security risks</w:t>
      </w:r>
      <w:r w:rsidDel="00000000" w:rsidR="00000000" w:rsidRPr="00000000">
        <w:rPr>
          <w:rtl w:val="0"/>
        </w:rPr>
      </w:r>
    </w:p>
    <w:p w:rsidR="00000000" w:rsidDel="00000000" w:rsidP="00000000" w:rsidRDefault="00000000" w:rsidRPr="00000000" w14:paraId="00000224">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hanging="709"/>
        <w:jc w:val="both"/>
        <w:rPr>
          <w:rFonts w:ascii="Calibri" w:cs="Calibri" w:eastAsia="Calibri" w:hAnsi="Calibri"/>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Suppliers and Subcontractors will be expected to have effective measures to mitigate, detect and manage cyber security risks relating to the contract and subsequent services. The supply chain is particularly vulnerable to attacks and CCS expects Suppliers to demonstrate vigilance with their tier 2 Suppliers. Demonstrating an understanding of the CCS requires Suppliers and (where appropriate) Key Subcontractors to hold current cyber essentials certification for the duration of the Framework term. Buyers may require Suppliers to hold current certification for a longer period depending on the term of Call-Off Contracts.</w:t>
      </w:r>
    </w:p>
    <w:p w:rsidR="00000000" w:rsidDel="00000000" w:rsidP="00000000" w:rsidRDefault="00000000" w:rsidRPr="00000000" w14:paraId="00000225">
      <w:pPr>
        <w:numPr>
          <w:ilvl w:val="3"/>
          <w:numId w:val="6"/>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Suppliers and Key Subcontractors will be required to undertake ‘CHECK’ compliant penetration testing, with an NCSC approved provider, prior to ‘go live’ and annually thereafter. Further information can be found at:</w:t>
      </w:r>
    </w:p>
    <w:p w:rsidR="00000000" w:rsidDel="00000000" w:rsidP="00000000" w:rsidRDefault="00000000" w:rsidRPr="00000000" w14:paraId="00000226">
      <w:pPr>
        <w:numPr>
          <w:ilvl w:val="3"/>
          <w:numId w:val="6"/>
        </w:numPr>
        <w:tabs>
          <w:tab w:val="left" w:leader="none" w:pos="709"/>
        </w:tabs>
        <w:spacing w:line="240" w:lineRule="auto"/>
        <w:ind w:left="0" w:hanging="2"/>
        <w:rPr>
          <w:rFonts w:ascii="Calibri" w:cs="Calibri" w:eastAsia="Calibri" w:hAnsi="Calibri"/>
          <w:color w:val="000000"/>
          <w:sz w:val="22"/>
          <w:szCs w:val="22"/>
        </w:rPr>
      </w:pPr>
      <w:hyperlink r:id="rId18">
        <w:r w:rsidDel="00000000" w:rsidR="00000000" w:rsidRPr="00000000">
          <w:rPr>
            <w:rFonts w:ascii="Calibri" w:cs="Calibri" w:eastAsia="Calibri" w:hAnsi="Calibri"/>
            <w:color w:val="000000"/>
            <w:sz w:val="22"/>
            <w:szCs w:val="22"/>
            <w:u w:val="single"/>
            <w:rtl w:val="0"/>
          </w:rPr>
          <w:t xml:space="preserve">NCSC Using a CHECK Provider </w:t>
        </w:r>
      </w:hyperlink>
      <w:r w:rsidDel="00000000" w:rsidR="00000000" w:rsidRPr="00000000">
        <w:rPr>
          <w:rtl w:val="0"/>
        </w:rPr>
      </w:r>
    </w:p>
    <w:p w:rsidR="00000000" w:rsidDel="00000000" w:rsidP="00000000" w:rsidRDefault="00000000" w:rsidRPr="00000000" w14:paraId="00000227">
      <w:pPr>
        <w:numPr>
          <w:ilvl w:val="3"/>
          <w:numId w:val="6"/>
        </w:numPr>
        <w:tabs>
          <w:tab w:val="left" w:leader="none" w:pos="709"/>
        </w:tabs>
        <w:spacing w:line="240" w:lineRule="auto"/>
        <w:ind w:left="0" w:hanging="2"/>
        <w:rPr>
          <w:rFonts w:ascii="Calibri" w:cs="Calibri" w:eastAsia="Calibri" w:hAnsi="Calibri"/>
          <w:color w:val="000000"/>
          <w:sz w:val="22"/>
          <w:szCs w:val="22"/>
        </w:rPr>
      </w:pPr>
      <w:hyperlink r:id="rId19">
        <w:r w:rsidDel="00000000" w:rsidR="00000000" w:rsidRPr="00000000">
          <w:rPr>
            <w:rFonts w:ascii="Calibri" w:cs="Calibri" w:eastAsia="Calibri" w:hAnsi="Calibri"/>
            <w:color w:val="000000"/>
            <w:sz w:val="22"/>
            <w:szCs w:val="22"/>
            <w:u w:val="single"/>
            <w:rtl w:val="0"/>
          </w:rPr>
          <w:t xml:space="preserve">NCSC Penetration Testing</w:t>
        </w:r>
      </w:hyperlink>
      <w:r w:rsidDel="00000000" w:rsidR="00000000" w:rsidRPr="00000000">
        <w:rPr>
          <w:rtl w:val="0"/>
        </w:rPr>
      </w:r>
    </w:p>
    <w:p w:rsidR="00000000" w:rsidDel="00000000" w:rsidP="00000000" w:rsidRDefault="00000000" w:rsidRPr="00000000" w14:paraId="00000228">
      <w:pPr>
        <w:numPr>
          <w:ilvl w:val="3"/>
          <w:numId w:val="6"/>
        </w:numPr>
        <w:tabs>
          <w:tab w:val="left" w:leader="none" w:pos="709"/>
        </w:tabs>
        <w:spacing w:after="160" w:line="240" w:lineRule="auto"/>
        <w:ind w:left="0" w:hanging="2"/>
        <w:rPr/>
      </w:pPr>
      <w:bookmarkStart w:colFirst="0" w:colLast="0" w:name="_1hmsyys" w:id="36"/>
      <w:bookmarkEnd w:id="36"/>
      <w:r w:rsidDel="00000000" w:rsidR="00000000" w:rsidRPr="00000000">
        <w:rPr>
          <w:rFonts w:ascii="Calibri" w:cs="Calibri" w:eastAsia="Calibri" w:hAnsi="Calibri"/>
          <w:color w:val="000000"/>
          <w:sz w:val="22"/>
          <w:szCs w:val="22"/>
          <w:rtl w:val="0"/>
        </w:rPr>
        <w:t xml:space="preserve">Buyers are at liberty to use additional security questionnaires that are proportionate to the risk and sensitivity of data processed and scope of the project as part of the Call-Off Procedure.</w:t>
      </w:r>
      <w:r w:rsidDel="00000000" w:rsidR="00000000" w:rsidRPr="00000000">
        <w:rPr>
          <w:rtl w:val="0"/>
        </w:rPr>
        <w:br w:type="textWrapping"/>
      </w:r>
    </w:p>
    <w:p w:rsidR="00000000" w:rsidDel="00000000" w:rsidP="00000000" w:rsidRDefault="00000000" w:rsidRPr="00000000" w14:paraId="0000022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360" w:right="0" w:hanging="360"/>
        <w:jc w:val="both"/>
        <w:rPr>
          <w:i w:val="0"/>
          <w:smallCaps w:val="0"/>
          <w:strike w:val="0"/>
          <w:color w:val="000000"/>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Effective Stewardship of the Environment</w:t>
      </w:r>
      <w:r w:rsidDel="00000000" w:rsidR="00000000" w:rsidRPr="00000000">
        <w:rPr>
          <w:rtl w:val="0"/>
        </w:rPr>
      </w:r>
    </w:p>
    <w:p w:rsidR="00000000" w:rsidDel="00000000" w:rsidP="00000000" w:rsidRDefault="00000000" w:rsidRPr="00000000" w14:paraId="0000022A">
      <w:pPr>
        <w:numPr>
          <w:ilvl w:val="3"/>
          <w:numId w:val="6"/>
        </w:numPr>
        <w:shd w:fill="ffffff" w:val="clear"/>
        <w:tabs>
          <w:tab w:val="left" w:leader="none" w:pos="709"/>
        </w:tabs>
        <w:spacing w:line="240" w:lineRule="auto"/>
        <w:ind w:left="0" w:hanging="2"/>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25-year environment plan sets out what the Government intends to do to improve the environment: </w:t>
      </w:r>
      <w:hyperlink r:id="rId20">
        <w:r w:rsidDel="00000000" w:rsidR="00000000" w:rsidRPr="00000000">
          <w:rPr>
            <w:rFonts w:ascii="Calibri" w:cs="Calibri" w:eastAsia="Calibri" w:hAnsi="Calibri"/>
            <w:color w:val="000000"/>
            <w:sz w:val="22"/>
            <w:szCs w:val="22"/>
            <w:u w:val="single"/>
            <w:rtl w:val="0"/>
          </w:rPr>
          <w:t xml:space="preserve">https://www.gov.uk/government/publications/25-year-environment-plan</w:t>
        </w:r>
      </w:hyperlink>
      <w:r w:rsidDel="00000000" w:rsidR="00000000" w:rsidRPr="00000000">
        <w:rPr>
          <w:rFonts w:ascii="Calibri" w:cs="Calibri" w:eastAsia="Calibri" w:hAnsi="Calibri"/>
          <w:color w:val="000000"/>
          <w:sz w:val="22"/>
          <w:szCs w:val="22"/>
          <w:rtl w:val="0"/>
        </w:rPr>
        <w:t xml:space="preserve">.</w:t>
      </w:r>
    </w:p>
    <w:p w:rsidR="00000000" w:rsidDel="00000000" w:rsidP="00000000" w:rsidRDefault="00000000" w:rsidRPr="00000000" w14:paraId="0000022B">
      <w:pPr>
        <w:numPr>
          <w:ilvl w:val="3"/>
          <w:numId w:val="6"/>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priority for CCS and Buyer(s) is for Suppliers to support Government targets through best endeavours to reduce harm to the environment. </w:t>
      </w:r>
      <w:r w:rsidDel="00000000" w:rsidR="00000000" w:rsidRPr="00000000">
        <w:rPr>
          <w:rFonts w:ascii="Calibri" w:cs="Calibri" w:eastAsia="Calibri" w:hAnsi="Calibri"/>
          <w:color w:val="000000"/>
          <w:sz w:val="22"/>
          <w:szCs w:val="22"/>
          <w:highlight w:val="white"/>
          <w:rtl w:val="0"/>
        </w:rPr>
        <w:t xml:space="preserve">The UK government set the ambitious climate change </w:t>
      </w:r>
      <w:hyperlink r:id="rId21">
        <w:r w:rsidDel="00000000" w:rsidR="00000000" w:rsidRPr="00000000">
          <w:rPr>
            <w:rFonts w:ascii="Calibri" w:cs="Calibri" w:eastAsia="Calibri" w:hAnsi="Calibri"/>
            <w:color w:val="000000"/>
            <w:sz w:val="22"/>
            <w:szCs w:val="22"/>
            <w:highlight w:val="white"/>
            <w:u w:val="single"/>
            <w:rtl w:val="0"/>
          </w:rPr>
          <w:t xml:space="preserve">target to reduce emissions by 78% by 2035  into law</w:t>
        </w:r>
      </w:hyperlink>
      <w:r w:rsidDel="00000000" w:rsidR="00000000" w:rsidRPr="00000000">
        <w:rPr>
          <w:rFonts w:ascii="Calibri" w:cs="Calibri" w:eastAsia="Calibri" w:hAnsi="Calibri"/>
          <w:color w:val="000000"/>
          <w:sz w:val="22"/>
          <w:szCs w:val="22"/>
          <w:rtl w:val="0"/>
        </w:rPr>
        <w:t xml:space="preserve">. Suppliers should demonstrate understanding of the negative impacts of their industry and how they are addressed, through action, supply chain collaboration and innovation. An example of this is the implementation of sustainable software engineering and decarbonising the supply chain.</w:t>
      </w:r>
    </w:p>
    <w:p w:rsidR="00000000" w:rsidDel="00000000" w:rsidP="00000000" w:rsidRDefault="00000000" w:rsidRPr="00000000" w14:paraId="0000022C">
      <w:pPr>
        <w:numPr>
          <w:ilvl w:val="3"/>
          <w:numId w:val="6"/>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All Government Departments are mandated to buy in line with the ‘Government Buying Standards’ (GBS) which set minimum mandatory buying standards for certain goods and services, including ICT equipment. Suppliers will be expected to support the delivery of the Government’s targets for eliminating the use of single use plastics, ensuring the safe disposal of waste, tackling climate change and cutting greenhouse gases.  </w:t>
      </w:r>
    </w:p>
    <w:p w:rsidR="00000000" w:rsidDel="00000000" w:rsidP="00000000" w:rsidRDefault="00000000" w:rsidRPr="00000000" w14:paraId="0000022D">
      <w:pPr>
        <w:numPr>
          <w:ilvl w:val="3"/>
          <w:numId w:val="6"/>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Buyers may test Suppliers’ approaches to supporting environmental sustainability, where relevant to their specific requirements as part of the Call-Off Procedure.</w:t>
      </w:r>
    </w:p>
    <w:p w:rsidR="00000000" w:rsidDel="00000000" w:rsidP="00000000" w:rsidRDefault="00000000" w:rsidRPr="00000000" w14:paraId="0000022E">
      <w:p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2F">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360" w:right="0" w:hanging="360"/>
        <w:jc w:val="both"/>
        <w:rPr>
          <w:i w:val="0"/>
          <w:smallCaps w:val="0"/>
          <w:strike w:val="0"/>
          <w:color w:val="000000"/>
          <w:u w:val="none"/>
          <w:shd w:fill="auto" w:val="clear"/>
          <w:vertAlign w:val="baseline"/>
        </w:rPr>
      </w:pPr>
      <w:bookmarkStart w:colFirst="0" w:colLast="0" w:name="_41mghml" w:id="37"/>
      <w:bookmarkEnd w:id="37"/>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Equal opportunity</w:t>
      </w:r>
      <w:r w:rsidDel="00000000" w:rsidR="00000000" w:rsidRPr="00000000">
        <w:rPr>
          <w:rtl w:val="0"/>
        </w:rPr>
      </w:r>
    </w:p>
    <w:p w:rsidR="00000000" w:rsidDel="00000000" w:rsidP="00000000" w:rsidRDefault="00000000" w:rsidRPr="00000000" w14:paraId="00000230">
      <w:pPr>
        <w:pStyle w:val="Heading5"/>
        <w:keepNext w:val="1"/>
        <w:keepLines w:val="1"/>
        <w:numPr>
          <w:ilvl w:val="2"/>
          <w:numId w:val="6"/>
        </w:numPr>
        <w:tabs>
          <w:tab w:val="left" w:leader="none" w:pos="709"/>
          <w:tab w:val="left" w:leader="none" w:pos="-10625"/>
          <w:tab w:val="left" w:leader="none" w:pos="-4331"/>
        </w:tabs>
        <w:spacing w:after="0" w:lineRule="auto"/>
        <w:ind w:left="0" w:hanging="2"/>
        <w:jc w:val="left"/>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Reduce the disability employment gap </w:t>
      </w:r>
      <w:r w:rsidDel="00000000" w:rsidR="00000000" w:rsidRPr="00000000">
        <w:rPr>
          <w:rtl w:val="0"/>
        </w:rPr>
      </w:r>
    </w:p>
    <w:p w:rsidR="00000000" w:rsidDel="00000000" w:rsidP="00000000" w:rsidRDefault="00000000" w:rsidRPr="00000000" w14:paraId="00000231">
      <w:p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32">
      <w:pPr>
        <w:numPr>
          <w:ilvl w:val="3"/>
          <w:numId w:val="6"/>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CCS and Buyer(s) recognise the importance and benefit of a diverse workforce. Suppliers must ensure there are opportunities in the contract workforce to employ and develop more disabled people in new skills relevant to the contract, including through training schemes that result in recognised qualifications.</w:t>
      </w:r>
    </w:p>
    <w:p w:rsidR="00000000" w:rsidDel="00000000" w:rsidP="00000000" w:rsidRDefault="00000000" w:rsidRPr="00000000" w14:paraId="00000233">
      <w:p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34">
      <w:pPr>
        <w:numPr>
          <w:ilvl w:val="3"/>
          <w:numId w:val="6"/>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Examples of appropriate methods include, but are not limited to;</w:t>
      </w:r>
    </w:p>
    <w:p w:rsidR="00000000" w:rsidDel="00000000" w:rsidP="00000000" w:rsidRDefault="00000000" w:rsidRPr="00000000" w14:paraId="00000235">
      <w:pPr>
        <w:numPr>
          <w:ilvl w:val="3"/>
          <w:numId w:val="6"/>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Inclusive and accessible recruitment practices, and retention-focussed activities, including those provided in the Guide for line managers on recruiting, managing and developing people with a disability or health condition;</w:t>
      </w:r>
    </w:p>
    <w:p w:rsidR="00000000" w:rsidDel="00000000" w:rsidP="00000000" w:rsidRDefault="00000000" w:rsidRPr="00000000" w14:paraId="00000236">
      <w:pPr>
        <w:numPr>
          <w:ilvl w:val="3"/>
          <w:numId w:val="6"/>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Introducing transparency to pay and reward processes;</w:t>
      </w:r>
    </w:p>
    <w:p w:rsidR="00000000" w:rsidDel="00000000" w:rsidP="00000000" w:rsidRDefault="00000000" w:rsidRPr="00000000" w14:paraId="00000237">
      <w:pPr>
        <w:numPr>
          <w:ilvl w:val="3"/>
          <w:numId w:val="6"/>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Offering a range of quality opportunities with routes of progression if appropriate, e.g. T Level industry placements, students supported into higher level apprenticeships;</w:t>
      </w:r>
    </w:p>
    <w:p w:rsidR="00000000" w:rsidDel="00000000" w:rsidP="00000000" w:rsidRDefault="00000000" w:rsidRPr="00000000" w14:paraId="00000238">
      <w:pPr>
        <w:numPr>
          <w:ilvl w:val="3"/>
          <w:numId w:val="6"/>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Working conditions which promote an inclusive working environment and promote retention and progression; and</w:t>
      </w:r>
    </w:p>
    <w:p w:rsidR="00000000" w:rsidDel="00000000" w:rsidP="00000000" w:rsidRDefault="00000000" w:rsidRPr="00000000" w14:paraId="00000239">
      <w:pPr>
        <w:numPr>
          <w:ilvl w:val="3"/>
          <w:numId w:val="6"/>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Other measures to provide equality of opportunity for disabled people into employment, including becoming a ‘disability confident’ employer and inclusion of supported businesses in the contract supply chain.</w:t>
      </w:r>
    </w:p>
    <w:p w:rsidR="00000000" w:rsidDel="00000000" w:rsidP="00000000" w:rsidRDefault="00000000" w:rsidRPr="00000000" w14:paraId="0000023A">
      <w:pPr>
        <w:numPr>
          <w:ilvl w:val="3"/>
          <w:numId w:val="6"/>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Buyers may test Suppliers’ approach and incentives that support a diverse workplace where relevant to their specific requirements as part of the Call-Off Procedure. </w:t>
      </w:r>
    </w:p>
    <w:p w:rsidR="00000000" w:rsidDel="00000000" w:rsidP="00000000" w:rsidRDefault="00000000" w:rsidRPr="00000000" w14:paraId="0000023B">
      <w:pPr>
        <w:tabs>
          <w:tab w:val="left" w:leader="none" w:pos="709"/>
        </w:tabs>
        <w:spacing w:line="240" w:lineRule="auto"/>
        <w:ind w:left="0" w:hanging="2"/>
        <w:rPr>
          <w:rFonts w:ascii="Calibri" w:cs="Calibri" w:eastAsia="Calibri" w:hAnsi="Calibri"/>
          <w:color w:val="000000"/>
          <w:sz w:val="22"/>
          <w:szCs w:val="22"/>
        </w:rPr>
      </w:pPr>
      <w:bookmarkStart w:colFirst="0" w:colLast="0" w:name="_2grqrue" w:id="38"/>
      <w:bookmarkEnd w:id="38"/>
      <w:r w:rsidDel="00000000" w:rsidR="00000000" w:rsidRPr="00000000">
        <w:rPr>
          <w:rtl w:val="0"/>
        </w:rPr>
      </w:r>
    </w:p>
    <w:p w:rsidR="00000000" w:rsidDel="00000000" w:rsidP="00000000" w:rsidRDefault="00000000" w:rsidRPr="00000000" w14:paraId="0000023C">
      <w:pPr>
        <w:pStyle w:val="Heading5"/>
        <w:keepNext w:val="1"/>
        <w:keepLines w:val="1"/>
        <w:numPr>
          <w:ilvl w:val="2"/>
          <w:numId w:val="6"/>
        </w:numPr>
        <w:tabs>
          <w:tab w:val="left" w:leader="none" w:pos="709"/>
          <w:tab w:val="left" w:leader="none" w:pos="-10625"/>
          <w:tab w:val="left" w:leader="none" w:pos="-4331"/>
        </w:tabs>
        <w:spacing w:after="0" w:lineRule="auto"/>
        <w:ind w:left="0" w:hanging="2"/>
        <w:jc w:val="left"/>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Tackling workforce inequality </w:t>
      </w:r>
      <w:r w:rsidDel="00000000" w:rsidR="00000000" w:rsidRPr="00000000">
        <w:rPr>
          <w:rtl w:val="0"/>
        </w:rPr>
      </w:r>
    </w:p>
    <w:p w:rsidR="00000000" w:rsidDel="00000000" w:rsidP="00000000" w:rsidRDefault="00000000" w:rsidRPr="00000000" w14:paraId="0000023D">
      <w:pPr>
        <w:numPr>
          <w:ilvl w:val="3"/>
          <w:numId w:val="6"/>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CCS and Buyer(s) have an important role to ensure the Suppliers they work with understand their role reducing workforce inequality. Suppliers must understand the issues affecting inequality in employment, skills and pay in the market, industry or sector relevant to the contract, and in the tenderer’s own organisation and those of its Key Subcontractors.</w:t>
        <w:tab/>
        <w:t xml:space="preserve">Illustrative examples of measures on place to address workforce inequality are:</w:t>
      </w:r>
    </w:p>
    <w:p w:rsidR="00000000" w:rsidDel="00000000" w:rsidP="00000000" w:rsidRDefault="00000000" w:rsidRPr="00000000" w14:paraId="0000023E">
      <w:pPr>
        <w:numPr>
          <w:ilvl w:val="3"/>
          <w:numId w:val="6"/>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Inclusive and accessible recruitment practices, and retention-focussed activities; </w:t>
      </w:r>
    </w:p>
    <w:p w:rsidR="00000000" w:rsidDel="00000000" w:rsidP="00000000" w:rsidRDefault="00000000" w:rsidRPr="00000000" w14:paraId="0000023F">
      <w:pPr>
        <w:numPr>
          <w:ilvl w:val="3"/>
          <w:numId w:val="6"/>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Offering a range of quality opportunities with routes of progression if appropriate, e.g. T Level industry placements, students supported into higher level apprenticeships; </w:t>
      </w:r>
    </w:p>
    <w:p w:rsidR="00000000" w:rsidDel="00000000" w:rsidP="00000000" w:rsidRDefault="00000000" w:rsidRPr="00000000" w14:paraId="00000240">
      <w:pPr>
        <w:numPr>
          <w:ilvl w:val="3"/>
          <w:numId w:val="6"/>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Working conditions which promote an inclusive working environment and promote retention and progression; </w:t>
      </w:r>
    </w:p>
    <w:p w:rsidR="00000000" w:rsidDel="00000000" w:rsidP="00000000" w:rsidRDefault="00000000" w:rsidRPr="00000000" w14:paraId="00000241">
      <w:pPr>
        <w:numPr>
          <w:ilvl w:val="3"/>
          <w:numId w:val="6"/>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Demonstrating how working conditions promote an inclusive working environment and promote retention and progression; </w:t>
      </w:r>
    </w:p>
    <w:p w:rsidR="00000000" w:rsidDel="00000000" w:rsidP="00000000" w:rsidRDefault="00000000" w:rsidRPr="00000000" w14:paraId="00000242">
      <w:pPr>
        <w:numPr>
          <w:ilvl w:val="3"/>
          <w:numId w:val="6"/>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time-bound action plan informed by monitoring to ensure employers have a workforce that proportionately reflects the diversity of the communities in which they operate, at every level; </w:t>
      </w:r>
    </w:p>
    <w:p w:rsidR="00000000" w:rsidDel="00000000" w:rsidP="00000000" w:rsidRDefault="00000000" w:rsidRPr="00000000" w14:paraId="00000243">
      <w:pPr>
        <w:numPr>
          <w:ilvl w:val="3"/>
          <w:numId w:val="6"/>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Including multiple women, or others with protected characteristics, in shortlists for recruitment and promotions; </w:t>
      </w:r>
    </w:p>
    <w:p w:rsidR="00000000" w:rsidDel="00000000" w:rsidP="00000000" w:rsidRDefault="00000000" w:rsidRPr="00000000" w14:paraId="00000244">
      <w:pPr>
        <w:numPr>
          <w:ilvl w:val="3"/>
          <w:numId w:val="6"/>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Using skill-based assessment tasks in recruitment; </w:t>
      </w:r>
    </w:p>
    <w:p w:rsidR="00000000" w:rsidDel="00000000" w:rsidP="00000000" w:rsidRDefault="00000000" w:rsidRPr="00000000" w14:paraId="00000245">
      <w:pPr>
        <w:numPr>
          <w:ilvl w:val="3"/>
          <w:numId w:val="6"/>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Using structured interviews for recruitment and promotions; </w:t>
      </w:r>
    </w:p>
    <w:p w:rsidR="00000000" w:rsidDel="00000000" w:rsidP="00000000" w:rsidRDefault="00000000" w:rsidRPr="00000000" w14:paraId="00000246">
      <w:pPr>
        <w:numPr>
          <w:ilvl w:val="3"/>
          <w:numId w:val="6"/>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Introducing transparency to promotion, pay and reward processes;</w:t>
      </w:r>
    </w:p>
    <w:p w:rsidR="00000000" w:rsidDel="00000000" w:rsidP="00000000" w:rsidRDefault="00000000" w:rsidRPr="00000000" w14:paraId="00000247">
      <w:pPr>
        <w:numPr>
          <w:ilvl w:val="3"/>
          <w:numId w:val="6"/>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Positive action schemes in place to address under-representation in certain pay grades;</w:t>
      </w:r>
    </w:p>
    <w:p w:rsidR="00000000" w:rsidDel="00000000" w:rsidP="00000000" w:rsidRDefault="00000000" w:rsidRPr="00000000" w14:paraId="00000248">
      <w:pPr>
        <w:numPr>
          <w:ilvl w:val="3"/>
          <w:numId w:val="6"/>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Jobs at all levels open to flexible working from day one for all workers;</w:t>
      </w:r>
    </w:p>
    <w:p w:rsidR="00000000" w:rsidDel="00000000" w:rsidP="00000000" w:rsidRDefault="00000000" w:rsidRPr="00000000" w14:paraId="00000249">
      <w:pPr>
        <w:numPr>
          <w:ilvl w:val="3"/>
          <w:numId w:val="6"/>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Collection and publication of retention rates, e.g. for pregnant women and new mothers, or for others with protected characteristics; and</w:t>
      </w:r>
    </w:p>
    <w:p w:rsidR="00000000" w:rsidDel="00000000" w:rsidP="00000000" w:rsidRDefault="00000000" w:rsidRPr="00000000" w14:paraId="0000024A">
      <w:pPr>
        <w:numPr>
          <w:ilvl w:val="3"/>
          <w:numId w:val="6"/>
        </w:num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Regular equal pay audits conducted.</w:t>
      </w:r>
    </w:p>
    <w:p w:rsidR="00000000" w:rsidDel="00000000" w:rsidP="00000000" w:rsidRDefault="00000000" w:rsidRPr="00000000" w14:paraId="0000024B">
      <w:pPr>
        <w:numPr>
          <w:ilvl w:val="3"/>
          <w:numId w:val="6"/>
        </w:numPr>
        <w:tabs>
          <w:tab w:val="left" w:leader="none" w:pos="709"/>
        </w:tabs>
        <w:spacing w:line="240" w:lineRule="auto"/>
        <w:ind w:left="0" w:hanging="2"/>
        <w:rPr>
          <w:rFonts w:ascii="Calibri" w:cs="Calibri" w:eastAsia="Calibri" w:hAnsi="Calibri"/>
          <w:color w:val="000000"/>
          <w:sz w:val="22"/>
          <w:szCs w:val="22"/>
        </w:rPr>
      </w:pPr>
      <w:bookmarkStart w:colFirst="0" w:colLast="0" w:name="_vx1227" w:id="39"/>
      <w:bookmarkEnd w:id="39"/>
      <w:r w:rsidDel="00000000" w:rsidR="00000000" w:rsidRPr="00000000">
        <w:rPr>
          <w:rFonts w:ascii="Calibri" w:cs="Calibri" w:eastAsia="Calibri" w:hAnsi="Calibri"/>
          <w:color w:val="000000"/>
          <w:sz w:val="22"/>
          <w:szCs w:val="22"/>
          <w:rtl w:val="0"/>
        </w:rPr>
        <w:t xml:space="preserve">The Buyer can access a Supplier's planned or existing measures as part of the Call-Off Procedure. </w:t>
      </w:r>
    </w:p>
    <w:p w:rsidR="00000000" w:rsidDel="00000000" w:rsidP="00000000" w:rsidRDefault="00000000" w:rsidRPr="00000000" w14:paraId="0000024C">
      <w:pPr>
        <w:tabs>
          <w:tab w:val="left" w:leader="none" w:pos="709"/>
        </w:tabs>
        <w:spacing w:line="240" w:lineRule="auto"/>
        <w:ind w:left="0" w:firstLine="0"/>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4D">
      <w:pPr>
        <w:pStyle w:val="Heading3"/>
        <w:numPr>
          <w:ilvl w:val="1"/>
          <w:numId w:val="6"/>
        </w:numPr>
        <w:shd w:fill="ffffff" w:val="clear"/>
        <w:tabs>
          <w:tab w:val="left" w:leader="none" w:pos="709"/>
        </w:tabs>
        <w:spacing w:after="0" w:before="0" w:line="240" w:lineRule="auto"/>
        <w:ind w:left="360" w:hanging="360"/>
        <w:rPr>
          <w:color w:val="000000"/>
        </w:rPr>
      </w:pPr>
      <w:r w:rsidDel="00000000" w:rsidR="00000000" w:rsidRPr="00000000">
        <w:rPr>
          <w:rFonts w:ascii="Calibri" w:cs="Calibri" w:eastAsia="Calibri" w:hAnsi="Calibri"/>
          <w:color w:val="000000"/>
          <w:sz w:val="22"/>
          <w:szCs w:val="22"/>
          <w:rtl w:val="0"/>
        </w:rPr>
        <w:t xml:space="preserve">Social Value reporting requirements</w:t>
      </w:r>
    </w:p>
    <w:p w:rsidR="00000000" w:rsidDel="00000000" w:rsidP="00000000" w:rsidRDefault="00000000" w:rsidRPr="00000000" w14:paraId="0000024E">
      <w:pPr>
        <w:shd w:fill="ffffff" w:val="clea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4F">
      <w:pPr>
        <w:numPr>
          <w:ilvl w:val="3"/>
          <w:numId w:val="6"/>
        </w:numPr>
        <w:shd w:fill="ffffff" w:val="clea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CCS expects Suppliers to be prepared to:</w:t>
      </w:r>
    </w:p>
    <w:p w:rsidR="00000000" w:rsidDel="00000000" w:rsidP="00000000" w:rsidRDefault="00000000" w:rsidRPr="00000000" w14:paraId="00000250">
      <w:pPr>
        <w:shd w:fill="ffffff" w:val="clea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51">
      <w:pPr>
        <w:numPr>
          <w:ilvl w:val="3"/>
          <w:numId w:val="6"/>
        </w:numPr>
        <w:shd w:fill="ffffff" w:val="clea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provide delivery plans and reporting of impacts and performance of social value to Buyers (e.g. method statements and KPIs), as may be required at call-off; </w:t>
      </w:r>
    </w:p>
    <w:p w:rsidR="00000000" w:rsidDel="00000000" w:rsidP="00000000" w:rsidRDefault="00000000" w:rsidRPr="00000000" w14:paraId="00000252">
      <w:pPr>
        <w:numPr>
          <w:ilvl w:val="3"/>
          <w:numId w:val="6"/>
        </w:numPr>
        <w:shd w:fill="ffffff" w:val="clea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provide delivery plans and reporting of impacts and performance of social value to CCS covering one or more Call-Off Contracts throughout the life of this contract; </w:t>
      </w:r>
    </w:p>
    <w:p w:rsidR="00000000" w:rsidDel="00000000" w:rsidP="00000000" w:rsidRDefault="00000000" w:rsidRPr="00000000" w14:paraId="00000253">
      <w:pPr>
        <w:numPr>
          <w:ilvl w:val="3"/>
          <w:numId w:val="6"/>
        </w:numPr>
        <w:shd w:fill="ffffff" w:val="clea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measure and report (when requested) the number, value and percentage of total contract spend of opportunities awarded to: SMEs, VCSEs and mutuals.</w:t>
      </w:r>
    </w:p>
    <w:p w:rsidR="00000000" w:rsidDel="00000000" w:rsidP="00000000" w:rsidRDefault="00000000" w:rsidRPr="00000000" w14:paraId="00000254">
      <w:pPr>
        <w:shd w:fill="ffffff" w:val="clear"/>
        <w:tabs>
          <w:tab w:val="left" w:leader="none" w:pos="709"/>
        </w:tabs>
        <w:spacing w:line="240" w:lineRule="auto"/>
        <w:ind w:left="0" w:hanging="2"/>
        <w:rPr>
          <w:rFonts w:ascii="Calibri" w:cs="Calibri" w:eastAsia="Calibri" w:hAnsi="Calibri"/>
          <w:color w:val="000000"/>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255">
      <w:pPr>
        <w:tabs>
          <w:tab w:val="left" w:leader="none" w:pos="709"/>
        </w:tabs>
        <w:spacing w:line="240" w:lineRule="auto"/>
        <w:ind w:left="0" w:hanging="2"/>
        <w:jc w:val="center"/>
        <w:rPr>
          <w:rFonts w:ascii="Calibri" w:cs="Calibri" w:eastAsia="Calibri" w:hAnsi="Calibri"/>
          <w:color w:val="000000"/>
          <w:sz w:val="36"/>
          <w:szCs w:val="36"/>
        </w:rPr>
      </w:pPr>
      <w:r w:rsidDel="00000000" w:rsidR="00000000" w:rsidRPr="00000000">
        <w:rPr>
          <w:rtl w:val="0"/>
        </w:rPr>
        <w:t xml:space="preserve">     </w:t>
      </w:r>
      <w:r w:rsidDel="00000000" w:rsidR="00000000" w:rsidRPr="00000000">
        <w:rPr>
          <w:rFonts w:ascii="Calibri" w:cs="Calibri" w:eastAsia="Calibri" w:hAnsi="Calibri"/>
          <w:b w:val="1"/>
          <w:color w:val="000000"/>
          <w:sz w:val="36"/>
          <w:szCs w:val="36"/>
          <w:rtl w:val="0"/>
        </w:rPr>
        <w:t xml:space="preserve">ANNEX 1</w:t>
      </w:r>
      <w:r w:rsidDel="00000000" w:rsidR="00000000" w:rsidRPr="00000000">
        <w:rPr>
          <w:rtl w:val="0"/>
        </w:rPr>
      </w:r>
    </w:p>
    <w:p w:rsidR="00000000" w:rsidDel="00000000" w:rsidP="00000000" w:rsidRDefault="00000000" w:rsidRPr="00000000" w14:paraId="00000256">
      <w:pPr>
        <w:tabs>
          <w:tab w:val="left" w:leader="none" w:pos="709"/>
          <w:tab w:val="left" w:leader="none" w:pos="1134"/>
        </w:tabs>
        <w:spacing w:line="240" w:lineRule="auto"/>
        <w:ind w:left="0" w:hanging="2"/>
        <w:jc w:val="cente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57">
      <w:pPr>
        <w:tabs>
          <w:tab w:val="left" w:leader="none" w:pos="709"/>
        </w:tabs>
        <w:spacing w:line="240" w:lineRule="auto"/>
        <w:ind w:left="2" w:hanging="4"/>
        <w:jc w:val="left"/>
        <w:rPr>
          <w:rFonts w:ascii="Calibri" w:cs="Calibri" w:eastAsia="Calibri" w:hAnsi="Calibri"/>
          <w:color w:val="000000"/>
          <w:sz w:val="36"/>
          <w:szCs w:val="36"/>
        </w:rPr>
      </w:pPr>
      <w:r w:rsidDel="00000000" w:rsidR="00000000" w:rsidRPr="00000000">
        <w:rPr>
          <w:rtl w:val="0"/>
        </w:rPr>
      </w:r>
    </w:p>
    <w:p w:rsidR="00000000" w:rsidDel="00000000" w:rsidP="00000000" w:rsidRDefault="00000000" w:rsidRPr="00000000" w14:paraId="00000258">
      <w:pPr>
        <w:tabs>
          <w:tab w:val="left" w:leader="none" w:pos="709"/>
        </w:tabs>
        <w:spacing w:line="240" w:lineRule="auto"/>
        <w:ind w:left="0" w:hanging="2"/>
        <w:jc w:val="cente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Standards</w:t>
      </w:r>
      <w:r w:rsidDel="00000000" w:rsidR="00000000" w:rsidRPr="00000000">
        <w:rPr>
          <w:rtl w:val="0"/>
        </w:rPr>
      </w:r>
    </w:p>
    <w:p w:rsidR="00000000" w:rsidDel="00000000" w:rsidP="00000000" w:rsidRDefault="00000000" w:rsidRPr="00000000" w14:paraId="00000259">
      <w:pPr>
        <w:tabs>
          <w:tab w:val="left" w:leader="none" w:pos="709"/>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Supplier shall be required to comply with the following Standards where relevant (paragraph 6 of this Framework Schedule 1) and where a Standard is accessed via a URL, the version of the Standard set out on that web page shall be the version of the Standard that shall apply to a Call-Off Contract or Statement of Requirement upon execution of the same:</w:t>
      </w:r>
    </w:p>
    <w:tbl>
      <w:tblPr>
        <w:tblStyle w:val="Table2"/>
        <w:tblW w:w="8930.0" w:type="dxa"/>
        <w:jc w:val="left"/>
        <w:tblInd w:w="5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53"/>
        <w:gridCol w:w="8277"/>
        <w:tblGridChange w:id="0">
          <w:tblGrid>
            <w:gridCol w:w="653"/>
            <w:gridCol w:w="827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5A">
            <w:pPr>
              <w:widowControl w:val="0"/>
              <w:tabs>
                <w:tab w:val="left" w:leader="none" w:pos="709"/>
              </w:tabs>
              <w:spacing w:after="240" w:lineRule="auto"/>
              <w:ind w:left="0" w:hanging="2"/>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5B">
            <w:pPr>
              <w:widowControl w:val="0"/>
              <w:tabs>
                <w:tab w:val="left" w:leader="none" w:pos="709"/>
              </w:tabs>
              <w:ind w:left="0" w:hanging="2"/>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General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5C">
            <w:pPr>
              <w:widowControl w:val="0"/>
              <w:tabs>
                <w:tab w:val="left" w:leader="none" w:pos="709"/>
              </w:tabs>
              <w:spacing w:after="240" w:lineRule="auto"/>
              <w:ind w:left="0" w:hanging="2"/>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1.1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5D">
            <w:pPr>
              <w:widowControl w:val="0"/>
              <w:tabs>
                <w:tab w:val="left" w:leader="none" w:pos="709"/>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ISO 9000; ISO 9001:2015 Quality Management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5E">
            <w:pPr>
              <w:widowControl w:val="0"/>
              <w:tabs>
                <w:tab w:val="left" w:leader="none" w:pos="709"/>
              </w:tabs>
              <w:spacing w:after="240" w:lineRule="auto"/>
              <w:ind w:left="0" w:hanging="2"/>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1.2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5F">
            <w:pPr>
              <w:keepNext w:val="1"/>
              <w:widowControl w:val="0"/>
              <w:tabs>
                <w:tab w:val="left" w:leader="none" w:pos="709"/>
              </w:tabs>
              <w:spacing w:after="120" w:before="120" w:lineRule="auto"/>
              <w:ind w:left="0" w:hanging="2"/>
              <w:rPr>
                <w:rFonts w:ascii="Calibri" w:cs="Calibri" w:eastAsia="Calibri" w:hAnsi="Calibri"/>
                <w:sz w:val="22"/>
                <w:szCs w:val="22"/>
              </w:rPr>
            </w:pPr>
            <w:hyperlink r:id="rId22">
              <w:r w:rsidDel="00000000" w:rsidR="00000000" w:rsidRPr="00000000">
                <w:rPr>
                  <w:rFonts w:ascii="Calibri" w:cs="Calibri" w:eastAsia="Calibri" w:hAnsi="Calibri"/>
                  <w:sz w:val="22"/>
                  <w:szCs w:val="22"/>
                  <w:rtl w:val="0"/>
                </w:rPr>
                <w:t xml:space="preserve">https://www.gov.uk/service-manual/service-standard</w:t>
              </w:r>
            </w:hyperlink>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60">
            <w:pPr>
              <w:widowControl w:val="0"/>
              <w:tabs>
                <w:tab w:val="left" w:leader="none" w:pos="709"/>
              </w:tabs>
              <w:spacing w:after="240" w:lineRule="auto"/>
              <w:ind w:left="0" w:hanging="2"/>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61">
            <w:pPr>
              <w:widowControl w:val="0"/>
              <w:tabs>
                <w:tab w:val="left" w:leader="none" w:pos="709"/>
              </w:tabs>
              <w:spacing w:after="240" w:lineRule="auto"/>
              <w:ind w:left="0" w:hanging="2"/>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IG and Security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62">
            <w:pPr>
              <w:widowControl w:val="0"/>
              <w:tabs>
                <w:tab w:val="left" w:leader="none" w:pos="709"/>
              </w:tabs>
              <w:spacing w:after="240" w:lineRule="auto"/>
              <w:ind w:left="0" w:hanging="2"/>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2.1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63">
            <w:pPr>
              <w:tabs>
                <w:tab w:val="left" w:leader="none" w:pos="709"/>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10 Steps to Cyber Security’ guidance: </w:t>
            </w:r>
            <w:hyperlink r:id="rId23">
              <w:r w:rsidDel="00000000" w:rsidR="00000000" w:rsidRPr="00000000">
                <w:rPr>
                  <w:rFonts w:ascii="Calibri" w:cs="Calibri" w:eastAsia="Calibri" w:hAnsi="Calibri"/>
                  <w:sz w:val="22"/>
                  <w:szCs w:val="22"/>
                  <w:u w:val="single"/>
                  <w:rtl w:val="0"/>
                </w:rPr>
                <w:t xml:space="preserve">https://www.ncsc.gov.uk/guidance/10-steps-cyber-security</w:t>
              </w:r>
            </w:hyperlink>
            <w:r w:rsidDel="00000000" w:rsidR="00000000" w:rsidRPr="00000000">
              <w:rPr>
                <w:rFonts w:ascii="Calibri" w:cs="Calibri" w:eastAsia="Calibri" w:hAnsi="Calibri"/>
                <w:sz w:val="22"/>
                <w:szCs w:val="22"/>
                <w:rtl w:val="0"/>
              </w:rPr>
              <w:t xml:space="preserve"> </w:t>
            </w:r>
          </w:p>
        </w:tc>
      </w:tr>
      <w:tr>
        <w:trPr>
          <w:cantSplit w:val="0"/>
          <w:trHeight w:val="636" w:hRule="atLeast"/>
          <w:tblHeader w:val="0"/>
        </w:trPr>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64">
            <w:pPr>
              <w:widowControl w:val="0"/>
              <w:tabs>
                <w:tab w:val="left" w:leader="none" w:pos="709"/>
              </w:tabs>
              <w:spacing w:after="240" w:lineRule="auto"/>
              <w:ind w:left="0" w:hanging="2"/>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2.2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65">
            <w:pPr>
              <w:widowControl w:val="0"/>
              <w:tabs>
                <w:tab w:val="left" w:leader="none" w:pos="709"/>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BS ISO 22301:2012 Societal security – Business Continuity management systems – Requirements</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66">
            <w:pPr>
              <w:widowControl w:val="0"/>
              <w:tabs>
                <w:tab w:val="left" w:leader="none" w:pos="709"/>
              </w:tabs>
              <w:spacing w:after="240" w:lineRule="auto"/>
              <w:ind w:left="0" w:hanging="2"/>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2.3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67">
            <w:pPr>
              <w:widowControl w:val="0"/>
              <w:tabs>
                <w:tab w:val="left" w:leader="none" w:pos="709"/>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BS ISO 27001:2013 Information and Data Security</w:t>
            </w:r>
          </w:p>
        </w:tc>
      </w:tr>
      <w:tr>
        <w:trPr>
          <w:cantSplit w:val="0"/>
          <w:trHeight w:val="476" w:hRule="atLeast"/>
          <w:tblHeader w:val="0"/>
        </w:trPr>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68">
            <w:pPr>
              <w:widowControl w:val="0"/>
              <w:tabs>
                <w:tab w:val="left" w:leader="none" w:pos="709"/>
              </w:tabs>
              <w:spacing w:after="240" w:lineRule="auto"/>
              <w:ind w:left="0" w:hanging="2"/>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2.4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69">
            <w:pPr>
              <w:widowControl w:val="0"/>
              <w:tabs>
                <w:tab w:val="left" w:leader="none" w:pos="709"/>
              </w:tabs>
              <w:spacing w:after="240" w:lineRule="auto"/>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BS ISO/IEC 27002:2013 Information technology — Security techniques — Code of practice for information security controls</w:t>
            </w:r>
          </w:p>
        </w:tc>
      </w:tr>
      <w:tr>
        <w:trPr>
          <w:cantSplit w:val="0"/>
          <w:trHeight w:val="476" w:hRule="atLeast"/>
          <w:tblHeader w:val="0"/>
        </w:trPr>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6A">
            <w:pPr>
              <w:widowControl w:val="0"/>
              <w:tabs>
                <w:tab w:val="left" w:leader="none" w:pos="709"/>
              </w:tabs>
              <w:spacing w:after="240" w:lineRule="auto"/>
              <w:ind w:left="0" w:hanging="2"/>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2.5</w:t>
            </w:r>
          </w:p>
        </w:tc>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6B">
            <w:pPr>
              <w:widowControl w:val="0"/>
              <w:tabs>
                <w:tab w:val="left" w:leader="none" w:pos="709"/>
              </w:tabs>
              <w:spacing w:after="240" w:lineRule="auto"/>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Security Policy Framework </w:t>
            </w:r>
            <w:hyperlink r:id="rId24">
              <w:r w:rsidDel="00000000" w:rsidR="00000000" w:rsidRPr="00000000">
                <w:rPr>
                  <w:rFonts w:ascii="Calibri" w:cs="Calibri" w:eastAsia="Calibri" w:hAnsi="Calibri"/>
                  <w:sz w:val="22"/>
                  <w:szCs w:val="22"/>
                  <w:rtl w:val="0"/>
                </w:rPr>
                <w:t xml:space="preserve">https://www.gov.uk/government/publications/security-policy-framework/hmg-security-policy-framework</w:t>
              </w:r>
            </w:hyperlink>
            <w:r w:rsidDel="00000000" w:rsidR="00000000" w:rsidRPr="00000000">
              <w:rPr>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6C">
            <w:pPr>
              <w:widowControl w:val="0"/>
              <w:tabs>
                <w:tab w:val="left" w:leader="none" w:pos="709"/>
              </w:tabs>
              <w:spacing w:after="240" w:lineRule="auto"/>
              <w:ind w:left="0" w:hanging="2"/>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6D">
            <w:pPr>
              <w:widowControl w:val="0"/>
              <w:tabs>
                <w:tab w:val="left" w:leader="none" w:pos="709"/>
              </w:tabs>
              <w:spacing w:after="240" w:lineRule="auto"/>
              <w:ind w:left="0" w:hanging="2"/>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Development and System Design Services</w:t>
            </w:r>
            <w:r w:rsidDel="00000000" w:rsidR="00000000" w:rsidRPr="00000000">
              <w:rPr>
                <w:rtl w:val="0"/>
              </w:rPr>
            </w:r>
          </w:p>
        </w:tc>
      </w:tr>
      <w:tr>
        <w:trPr>
          <w:cantSplit w:val="0"/>
          <w:trHeight w:val="253" w:hRule="atLeast"/>
          <w:tblHeader w:val="0"/>
        </w:trPr>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6E">
            <w:pPr>
              <w:widowControl w:val="0"/>
              <w:tabs>
                <w:tab w:val="left" w:leader="none" w:pos="709"/>
              </w:tabs>
              <w:spacing w:after="240" w:lineRule="auto"/>
              <w:ind w:left="0" w:hanging="2"/>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3.1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6F">
            <w:pPr>
              <w:widowControl w:val="0"/>
              <w:tabs>
                <w:tab w:val="left" w:leader="none" w:pos="709"/>
              </w:tabs>
              <w:spacing w:after="240" w:lineRule="auto"/>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BS ISO/IEC 12207:2017 Systems and software engineering. </w:t>
            </w:r>
          </w:p>
        </w:tc>
      </w:tr>
      <w:tr>
        <w:trPr>
          <w:cantSplit w:val="0"/>
          <w:trHeight w:val="463" w:hRule="atLeast"/>
          <w:tblHeader w:val="0"/>
        </w:trPr>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70">
            <w:pPr>
              <w:widowControl w:val="0"/>
              <w:tabs>
                <w:tab w:val="left" w:leader="none" w:pos="709"/>
              </w:tabs>
              <w:spacing w:after="240" w:lineRule="auto"/>
              <w:ind w:left="0" w:hanging="2"/>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3.2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71">
            <w:pPr>
              <w:widowControl w:val="0"/>
              <w:tabs>
                <w:tab w:val="left" w:leader="none" w:pos="709"/>
              </w:tabs>
              <w:spacing w:after="240" w:lineRule="auto"/>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BS 8878:2010 Web accessibility. Code of Practice.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72">
            <w:pPr>
              <w:widowControl w:val="0"/>
              <w:tabs>
                <w:tab w:val="left" w:leader="none" w:pos="709"/>
              </w:tabs>
              <w:spacing w:after="240" w:lineRule="auto"/>
              <w:ind w:left="0" w:hanging="2"/>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3.3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73">
            <w:pPr>
              <w:widowControl w:val="0"/>
              <w:tabs>
                <w:tab w:val="left" w:leader="none" w:pos="709"/>
              </w:tabs>
              <w:spacing w:after="240" w:lineRule="auto"/>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Open Standards: "Open Standards Principles 2018: For software interoperability, data and document formats in government IT specifications" (which can be found at </w:t>
            </w:r>
            <w:hyperlink r:id="rId25">
              <w:r w:rsidDel="00000000" w:rsidR="00000000" w:rsidRPr="00000000">
                <w:rPr>
                  <w:rFonts w:ascii="Calibri" w:cs="Calibri" w:eastAsia="Calibri" w:hAnsi="Calibri"/>
                  <w:sz w:val="22"/>
                  <w:szCs w:val="22"/>
                  <w:u w:val="single"/>
                  <w:rtl w:val="0"/>
                </w:rPr>
                <w:t xml:space="preserve">https://www.gov.uk/government/publications/open-standards-principles</w:t>
              </w:r>
            </w:hyperlink>
            <w:r w:rsidDel="00000000" w:rsidR="00000000" w:rsidRPr="00000000">
              <w:rPr>
                <w:rFonts w:ascii="Calibri" w:cs="Calibri" w:eastAsia="Calibri" w:hAnsi="Calibri"/>
                <w:sz w:val="22"/>
                <w:szCs w:val="22"/>
                <w:rtl w:val="0"/>
              </w:rPr>
              <w:t xml:space="preserve"> ) and any supplementary or replacement government guidance.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74">
            <w:pPr>
              <w:widowControl w:val="0"/>
              <w:tabs>
                <w:tab w:val="left" w:leader="none" w:pos="709"/>
              </w:tabs>
              <w:spacing w:after="240" w:lineRule="auto"/>
              <w:ind w:left="0" w:hanging="2"/>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3.4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75">
            <w:pPr>
              <w:widowControl w:val="0"/>
              <w:tabs>
                <w:tab w:val="left" w:leader="none" w:pos="709"/>
              </w:tabs>
              <w:spacing w:after="240" w:lineRule="auto"/>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Adopted Open Standards as detailed on the Standards Hub </w:t>
            </w:r>
            <w:hyperlink r:id="rId26">
              <w:r w:rsidDel="00000000" w:rsidR="00000000" w:rsidRPr="00000000">
                <w:rPr>
                  <w:rFonts w:ascii="Calibri" w:cs="Calibri" w:eastAsia="Calibri" w:hAnsi="Calibri"/>
                  <w:sz w:val="22"/>
                  <w:szCs w:val="22"/>
                  <w:u w:val="single"/>
                  <w:rtl w:val="0"/>
                </w:rPr>
                <w:t xml:space="preserve">https://www.gov.uk/government/publications/open-standards-for-government</w:t>
              </w:r>
            </w:hyperlink>
            <w:r w:rsidDel="00000000" w:rsidR="00000000" w:rsidRPr="00000000">
              <w:rPr>
                <w:rtl w:val="0"/>
              </w:rPr>
            </w:r>
          </w:p>
        </w:tc>
      </w:tr>
      <w:tr>
        <w:trPr>
          <w:cantSplit w:val="0"/>
          <w:trHeight w:val="549" w:hRule="atLeast"/>
          <w:tblHeader w:val="0"/>
        </w:trPr>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76">
            <w:pPr>
              <w:widowControl w:val="0"/>
              <w:tabs>
                <w:tab w:val="left" w:leader="none" w:pos="709"/>
              </w:tabs>
              <w:spacing w:after="240" w:lineRule="auto"/>
              <w:ind w:left="0" w:hanging="2"/>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3.5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77">
            <w:pPr>
              <w:widowControl w:val="0"/>
              <w:tabs>
                <w:tab w:val="left" w:leader="none" w:pos="709"/>
              </w:tabs>
              <w:spacing w:after="240" w:lineRule="auto"/>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Web Content Accessibility Guidelines (WCAG) 2.0 to level AA; or WCAG 2.1, (as updated pursuant to the Public Sector Bodies (Websites and Mobile Applications) Accessibility Regulations 2018), WCAG 2.2 (once in place)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78">
            <w:pPr>
              <w:widowControl w:val="0"/>
              <w:tabs>
                <w:tab w:val="left" w:leader="none" w:pos="709"/>
              </w:tabs>
              <w:spacing w:after="240" w:lineRule="auto"/>
              <w:ind w:left="0" w:hanging="2"/>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79">
            <w:pPr>
              <w:widowControl w:val="0"/>
              <w:tabs>
                <w:tab w:val="left" w:leader="none" w:pos="709"/>
              </w:tabs>
              <w:ind w:left="0" w:hanging="2"/>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Buyer Standards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7A">
            <w:pPr>
              <w:widowControl w:val="0"/>
              <w:tabs>
                <w:tab w:val="left" w:leader="none" w:pos="709"/>
              </w:tabs>
              <w:spacing w:after="240" w:lineRule="auto"/>
              <w:ind w:left="0" w:hanging="2"/>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4.1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0" w:type="dxa"/>
              <w:left w:w="11.0" w:type="dxa"/>
              <w:bottom w:w="11.0" w:type="dxa"/>
              <w:right w:w="11.0" w:type="dxa"/>
            </w:tcMar>
          </w:tcPr>
          <w:p w:rsidR="00000000" w:rsidDel="00000000" w:rsidP="00000000" w:rsidRDefault="00000000" w:rsidRPr="00000000" w14:paraId="0000027B">
            <w:pPr>
              <w:widowControl w:val="0"/>
              <w:tabs>
                <w:tab w:val="left" w:leader="none" w:pos="709"/>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Such other standards and requirements as notified by the Buyer to the Supplier (including successor standards and requirements).</w:t>
            </w:r>
          </w:p>
        </w:tc>
      </w:tr>
    </w:tbl>
    <w:p w:rsidR="00000000" w:rsidDel="00000000" w:rsidP="00000000" w:rsidRDefault="00000000" w:rsidRPr="00000000" w14:paraId="0000027C">
      <w:pPr>
        <w:tabs>
          <w:tab w:val="left" w:leader="none" w:pos="709"/>
          <w:tab w:val="left" w:leader="none" w:pos="1134"/>
        </w:tabs>
        <w:spacing w:after="120" w:before="120" w:line="240" w:lineRule="auto"/>
        <w:ind w:left="0" w:firstLine="0"/>
        <w:rPr>
          <w:rFonts w:ascii="Calibri" w:cs="Calibri" w:eastAsia="Calibri" w:hAnsi="Calibri"/>
          <w:color w:val="000000"/>
          <w:sz w:val="22"/>
          <w:szCs w:val="22"/>
          <w:highlight w:val="yellow"/>
        </w:rPr>
      </w:pPr>
      <w:r w:rsidDel="00000000" w:rsidR="00000000" w:rsidRPr="00000000">
        <w:rPr>
          <w:rtl w:val="0"/>
        </w:rPr>
      </w:r>
    </w:p>
    <w:sectPr>
      <w:headerReference r:id="rId27" w:type="default"/>
      <w:headerReference r:id="rId28" w:type="first"/>
      <w:headerReference r:id="rId29" w:type="even"/>
      <w:footerReference r:id="rId30" w:type="default"/>
      <w:footerReference r:id="rId31" w:type="first"/>
      <w:footerReference r:id="rId3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leader="none" w:pos="709"/>
        <w:tab w:val="center" w:leader="none" w:pos="4513"/>
        <w:tab w:val="right" w:leader="none" w:pos="9026"/>
      </w:tabs>
      <w:spacing w:line="240" w:lineRule="auto"/>
      <w:ind w:left="0" w:hanging="2"/>
      <w:rPr/>
    </w:pPr>
    <w:r w:rsidDel="00000000" w:rsidR="00000000" w:rsidRPr="00000000">
      <w:rPr>
        <w:rtl w:val="0"/>
      </w:rPr>
    </w:r>
  </w:p>
  <w:p w:rsidR="00000000" w:rsidDel="00000000" w:rsidP="00000000" w:rsidRDefault="00000000" w:rsidRPr="00000000" w14:paraId="00000282">
    <w:pPr>
      <w:pBdr>
        <w:top w:space="0" w:sz="0" w:val="nil"/>
        <w:left w:space="0" w:sz="0" w:val="nil"/>
        <w:bottom w:space="0" w:sz="0" w:val="nil"/>
        <w:right w:space="0" w:sz="0" w:val="nil"/>
        <w:between w:space="0" w:sz="0" w:val="nil"/>
      </w:pBdr>
      <w:tabs>
        <w:tab w:val="left" w:leader="none" w:pos="709"/>
        <w:tab w:val="center" w:leader="none" w:pos="4513"/>
        <w:tab w:val="right" w:leader="none" w:pos="9026"/>
      </w:tabs>
      <w:spacing w:line="240" w:lineRule="auto"/>
      <w:ind w:left="0" w:hanging="2"/>
      <w:rPr/>
    </w:pPr>
    <w:r w:rsidDel="00000000" w:rsidR="00000000" w:rsidRPr="00000000">
      <w:rPr>
        <w:rtl w:val="0"/>
      </w:rPr>
      <w:t xml:space="preserve">76594897.276594897.276594897.276594897.2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leader="none" w:pos="709"/>
        <w:tab w:val="center" w:leader="none" w:pos="4513"/>
        <w:tab w:val="right" w:leader="none" w:pos="9026"/>
      </w:tabs>
      <w:spacing w:line="240" w:lineRule="auto"/>
      <w:ind w:left="0" w:hanging="2"/>
      <w:rPr/>
    </w:pPr>
    <w:r w:rsidDel="00000000" w:rsidR="00000000" w:rsidRPr="00000000">
      <w:rPr>
        <w:rtl w:val="0"/>
      </w:rPr>
    </w:r>
  </w:p>
  <w:p w:rsidR="00000000" w:rsidDel="00000000" w:rsidP="00000000" w:rsidRDefault="00000000" w:rsidRPr="00000000" w14:paraId="00000284">
    <w:pPr>
      <w:pBdr>
        <w:top w:space="0" w:sz="0" w:val="nil"/>
        <w:left w:space="0" w:sz="0" w:val="nil"/>
        <w:bottom w:space="0" w:sz="0" w:val="nil"/>
        <w:right w:space="0" w:sz="0" w:val="nil"/>
        <w:between w:space="0" w:sz="0" w:val="nil"/>
      </w:pBdr>
      <w:tabs>
        <w:tab w:val="left" w:leader="none" w:pos="709"/>
        <w:tab w:val="center" w:leader="none" w:pos="4513"/>
        <w:tab w:val="right" w:leader="none" w:pos="9026"/>
      </w:tabs>
      <w:spacing w:line="240" w:lineRule="auto"/>
      <w:ind w:left="0" w:hanging="2"/>
      <w:rPr/>
    </w:pPr>
    <w:r w:rsidDel="00000000" w:rsidR="00000000" w:rsidRPr="00000000">
      <w:rPr>
        <w:rtl w:val="0"/>
      </w:rPr>
      <w:t xml:space="preserve">76594897.276594897.276594897.276594897.2</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5">
    <w:pPr>
      <w:tabs>
        <w:tab w:val="left" w:leader="none" w:pos="709"/>
        <w:tab w:val="center" w:leader="none" w:pos="4513"/>
        <w:tab w:val="right" w:leader="none" w:pos="9026"/>
      </w:tabs>
      <w:ind w:left="0" w:hanging="2"/>
      <w:rPr/>
    </w:pPr>
    <w:r w:rsidDel="00000000" w:rsidR="00000000" w:rsidRPr="00000000">
      <w:rPr>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10210800</wp:posOffset>
              </wp:positionV>
              <wp:extent cx="7569835" cy="282575"/>
              <wp:effectExtent b="0" l="0" r="0" t="0"/>
              <wp:wrapNone/>
              <wp:docPr descr="{&quot;HashCode&quot;:-1264847310,&quot;Height&quot;:841.0,&quot;Width&quot;:595.0,&quot;Placement&quot;:&quot;Footer&quot;,&quot;Index&quot;:&quot;Primary&quot;,&quot;Section&quot;:1,&quot;Top&quot;:0.0,&quot;Left&quot;:0.0}" id="1" name=""/>
              <a:graphic>
                <a:graphicData uri="http://schemas.microsoft.com/office/word/2010/wordprocessingShape">
                  <wps:wsp>
                    <wps:cNvSpPr/>
                    <wps:cNvPr id="2" name="Shape 2"/>
                    <wps:spPr>
                      <a:xfrm>
                        <a:off x="1565845" y="3643475"/>
                        <a:ext cx="7560310" cy="273050"/>
                      </a:xfrm>
                      <a:prstGeom prst="rect">
                        <a:avLst/>
                      </a:prstGeom>
                      <a:noFill/>
                      <a:ln>
                        <a:noFill/>
                      </a:ln>
                    </wps:spPr>
                    <wps:txbx>
                      <w:txbxContent>
                        <w:p w:rsidR="00000000" w:rsidDel="00000000" w:rsidP="00000000" w:rsidRDefault="00000000" w:rsidRPr="00000000">
                          <w:pPr>
                            <w:spacing w:after="0" w:before="0" w:line="275.9999942779541"/>
                            <w:ind w:left="0" w:right="0" w:firstLine="-2.0000000298023224"/>
                            <w:jc w:val="center"/>
                            <w:textDirection w:val="btLr"/>
                          </w:pPr>
                        </w:p>
                      </w:txbxContent>
                    </wps:txbx>
                    <wps:bodyPr anchorCtr="0" anchor="b"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10210800</wp:posOffset>
              </wp:positionV>
              <wp:extent cx="7569835" cy="282575"/>
              <wp:effectExtent b="0" l="0" r="0" t="0"/>
              <wp:wrapNone/>
              <wp:docPr descr="{&quot;HashCode&quot;:-1264847310,&quot;Height&quot;:841.0,&quot;Width&quot;:595.0,&quot;Placement&quot;:&quot;Footer&quot;,&quot;Index&quot;:&quot;Primary&quot;,&quot;Section&quot;:1,&quot;Top&quot;:0.0,&quot;Left&quot;:0.0}" id="1" name="image1.png"/>
              <a:graphic>
                <a:graphicData uri="http://schemas.openxmlformats.org/drawingml/2006/picture">
                  <pic:pic>
                    <pic:nvPicPr>
                      <pic:cNvPr descr="{&quot;HashCode&quot;:-1264847310,&quot;Height&quot;:841.0,&quot;Width&quot;:595.0,&quot;Placement&quot;:&quot;Footer&quot;,&quot;Index&quot;:&quot;Primary&quot;,&quot;Section&quot;:1,&quot;Top&quot;:0.0,&quot;Left&quot;:0.0}" id="0" name="image1.png"/>
                      <pic:cNvPicPr preferRelativeResize="0"/>
                    </pic:nvPicPr>
                    <pic:blipFill>
                      <a:blip r:embed="rId1"/>
                      <a:srcRect/>
                      <a:stretch>
                        <a:fillRect/>
                      </a:stretch>
                    </pic:blipFill>
                    <pic:spPr>
                      <a:xfrm>
                        <a:off x="0" y="0"/>
                        <a:ext cx="7569835" cy="282575"/>
                      </a:xfrm>
                      <a:prstGeom prst="rect"/>
                      <a:ln/>
                    </pic:spPr>
                  </pic:pic>
                </a:graphicData>
              </a:graphic>
            </wp:anchor>
          </w:drawing>
        </mc:Fallback>
      </mc:AlternateContent>
    </w:r>
  </w:p>
  <w:p w:rsidR="00000000" w:rsidDel="00000000" w:rsidP="00000000" w:rsidRDefault="00000000" w:rsidRPr="00000000" w14:paraId="00000286">
    <w:pPr>
      <w:pBdr>
        <w:top w:space="0" w:sz="0" w:val="nil"/>
        <w:left w:space="0" w:sz="0" w:val="nil"/>
        <w:bottom w:space="0" w:sz="0" w:val="nil"/>
        <w:right w:space="0" w:sz="0" w:val="nil"/>
        <w:between w:space="0" w:sz="0" w:val="nil"/>
      </w:pBdr>
      <w:tabs>
        <w:tab w:val="left" w:leader="none" w:pos="709"/>
        <w:tab w:val="center" w:leader="none" w:pos="4513"/>
        <w:tab w:val="right" w:leader="none" w:pos="9026"/>
      </w:tabs>
      <w:spacing w:line="240" w:lineRule="auto"/>
      <w:ind w:left="0" w:hanging="2"/>
      <w:jc w:val="left"/>
      <w:rPr>
        <w:color w:val="000000"/>
      </w:rPr>
    </w:pPr>
    <w:r w:rsidDel="00000000" w:rsidR="00000000" w:rsidRPr="00000000">
      <w:rPr>
        <w:rtl w:val="0"/>
      </w:rPr>
    </w:r>
  </w:p>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leader="none" w:pos="709"/>
        <w:tab w:val="center" w:leader="none" w:pos="4513"/>
        <w:tab w:val="right" w:leader="none" w:pos="9026"/>
      </w:tabs>
      <w:spacing w:line="240" w:lineRule="auto"/>
      <w:ind w:left="0" w:hanging="2"/>
      <w:jc w:val="center"/>
      <w:rPr>
        <w:color w:val="000000"/>
      </w:rPr>
    </w:pPr>
    <w:r w:rsidDel="00000000" w:rsidR="00000000" w:rsidRPr="00000000">
      <w:rPr>
        <w:color w:val="000000"/>
        <w:rtl w:val="0"/>
      </w:rPr>
      <w:tab/>
      <w:t xml:space="preserve"> </w:t>
    </w: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bookmarkStart w:colFirst="0" w:colLast="0" w:name="3fwokq0" w:id="40"/>
  <w:bookmarkEnd w:id="40"/>
  <w:p w:rsidR="00000000" w:rsidDel="00000000" w:rsidP="00000000" w:rsidRDefault="00000000" w:rsidRPr="00000000" w14:paraId="00000288">
    <w:pPr>
      <w:tabs>
        <w:tab w:val="left" w:leader="none" w:pos="709"/>
      </w:tabs>
      <w:spacing w:line="240" w:lineRule="auto"/>
      <w:ind w:left="0" w:hanging="2"/>
      <w:rPr/>
    </w:pPr>
    <w:r w:rsidDel="00000000" w:rsidR="00000000" w:rsidRPr="00000000">
      <w:rPr>
        <w:rtl w:val="0"/>
      </w:rPr>
      <w:tab/>
      <w:tab/>
      <w:tab/>
      <w:tab/>
    </w:r>
  </w:p>
  <w:p w:rsidR="00000000" w:rsidDel="00000000" w:rsidP="00000000" w:rsidRDefault="00000000" w:rsidRPr="00000000" w14:paraId="00000289">
    <w:pPr>
      <w:tabs>
        <w:tab w:val="left" w:leader="none" w:pos="709"/>
      </w:tabs>
      <w:spacing w:line="240" w:lineRule="auto"/>
      <w:ind w:left="0" w:hanging="2"/>
      <w:rPr/>
    </w:pPr>
    <w:r w:rsidDel="00000000" w:rsidR="00000000" w:rsidRPr="00000000">
      <w:rPr>
        <w:rtl w:val="0"/>
      </w:rPr>
      <w:t xml:space="preserve">Framework Ref: RM6335</w:t>
    </w:r>
  </w:p>
  <w:p w:rsidR="00000000" w:rsidDel="00000000" w:rsidP="00000000" w:rsidRDefault="00000000" w:rsidRPr="00000000" w14:paraId="0000028A">
    <w:pPr>
      <w:tabs>
        <w:tab w:val="left" w:leader="none" w:pos="709"/>
      </w:tabs>
      <w:spacing w:line="240" w:lineRule="auto"/>
      <w:ind w:left="0" w:hanging="2"/>
      <w:rPr/>
    </w:pPr>
    <w:r w:rsidDel="00000000" w:rsidR="00000000" w:rsidRPr="00000000">
      <w:rPr>
        <w:rtl w:val="0"/>
      </w:rPr>
      <w:t xml:space="preserve">V2.0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leader="none" w:pos="709"/>
        <w:tab w:val="center" w:leader="none" w:pos="4513"/>
        <w:tab w:val="right" w:leader="none" w:pos="9026"/>
      </w:tabs>
      <w:spacing w:line="240" w:lineRule="auto"/>
      <w:ind w:left="0" w:hanging="2"/>
      <w:jc w:val="left"/>
      <w:rPr>
        <w:color w:val="000000"/>
      </w:rPr>
    </w:pPr>
    <w:r w:rsidDel="00000000" w:rsidR="00000000" w:rsidRPr="00000000">
      <w:rPr>
        <w:b w:val="1"/>
        <w:color w:val="000000"/>
        <w:rtl w:val="0"/>
      </w:rPr>
      <w:t xml:space="preserve">Framework Schedule 1 (Specification) to DALAS Framework</w:t>
    </w:r>
    <w:r w:rsidDel="00000000" w:rsidR="00000000" w:rsidRPr="00000000">
      <w:rPr>
        <w:rtl w:val="0"/>
      </w:rPr>
    </w:r>
  </w:p>
  <w:p w:rsidR="00000000" w:rsidDel="00000000" w:rsidP="00000000" w:rsidRDefault="00000000" w:rsidRPr="00000000" w14:paraId="0000027E">
    <w:pPr>
      <w:pBdr>
        <w:top w:space="0" w:sz="0" w:val="nil"/>
        <w:left w:space="0" w:sz="0" w:val="nil"/>
        <w:bottom w:space="0" w:sz="0" w:val="nil"/>
        <w:right w:space="0" w:sz="0" w:val="nil"/>
        <w:between w:space="0" w:sz="0" w:val="nil"/>
      </w:pBdr>
      <w:tabs>
        <w:tab w:val="left" w:leader="none" w:pos="709"/>
        <w:tab w:val="center" w:leader="none" w:pos="4513"/>
        <w:tab w:val="right" w:leader="none" w:pos="9026"/>
      </w:tabs>
      <w:spacing w:line="240" w:lineRule="auto"/>
      <w:ind w:left="0" w:hanging="2"/>
      <w:jc w:val="left"/>
      <w:rPr>
        <w:color w:val="bfbfbf"/>
      </w:rPr>
    </w:pPr>
    <w:r w:rsidDel="00000000" w:rsidR="00000000" w:rsidRPr="00000000">
      <w:rPr>
        <w:color w:val="000000"/>
        <w:rtl w:val="0"/>
      </w:rPr>
      <w:t xml:space="preserve">Crown Copyright 20</w:t>
    </w:r>
    <w:r w:rsidDel="00000000" w:rsidR="00000000" w:rsidRPr="00000000">
      <w:rPr>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leader="none" w:pos="709"/>
        <w:tab w:val="center" w:leader="none" w:pos="4513"/>
        <w:tab w:val="right" w:leader="none" w:pos="9026"/>
      </w:tabs>
      <w:spacing w:line="240" w:lineRule="auto"/>
      <w:ind w:left="0" w:hanging="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0">
    <w:pPr>
      <w:pBdr>
        <w:top w:space="0" w:sz="0" w:val="nil"/>
        <w:left w:space="0" w:sz="0" w:val="nil"/>
        <w:bottom w:space="0" w:sz="0" w:val="nil"/>
        <w:right w:space="0" w:sz="0" w:val="nil"/>
        <w:between w:space="0" w:sz="0" w:val="nil"/>
      </w:pBdr>
      <w:tabs>
        <w:tab w:val="left" w:leader="none" w:pos="709"/>
        <w:tab w:val="center" w:leader="none" w:pos="4513"/>
        <w:tab w:val="right" w:leader="none" w:pos="9026"/>
      </w:tabs>
      <w:spacing w:line="240" w:lineRule="auto"/>
      <w:ind w:left="0" w:hanging="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4"/>
      <w:numFmt w:val="decimal"/>
      <w:lvlText w:val="%1."/>
      <w:lvlJc w:val="right"/>
      <w:pPr>
        <w:ind w:left="720" w:hanging="360"/>
      </w:pPr>
      <w:rPr>
        <w:u w:val="none"/>
        <w:vertAlign w:val="baseline"/>
      </w:rPr>
    </w:lvl>
    <w:lvl w:ilvl="1">
      <w:start w:val="1"/>
      <w:numFmt w:val="decimal"/>
      <w:lvlText w:val="%1.%2."/>
      <w:lvlJc w:val="right"/>
      <w:pPr>
        <w:ind w:left="1440" w:hanging="360"/>
      </w:pPr>
      <w:rPr>
        <w:rFonts w:ascii="Calibri" w:cs="Calibri" w:eastAsia="Calibri" w:hAnsi="Calibri"/>
        <w:u w:val="none"/>
        <w:vertAlign w:val="baseline"/>
      </w:rPr>
    </w:lvl>
    <w:lvl w:ilvl="2">
      <w:start w:val="1"/>
      <w:numFmt w:val="decimal"/>
      <w:lvlText w:val="%1.%2.%3."/>
      <w:lvlJc w:val="right"/>
      <w:pPr>
        <w:ind w:left="2160" w:hanging="360"/>
      </w:pPr>
      <w:rPr>
        <w:rFonts w:ascii="Calibri" w:cs="Calibri" w:eastAsia="Calibri" w:hAnsi="Calibri"/>
        <w:u w:val="none"/>
        <w:vertAlign w:val="baseline"/>
      </w:rPr>
    </w:lvl>
    <w:lvl w:ilvl="3">
      <w:start w:val="1"/>
      <w:numFmt w:val="decimal"/>
      <w:lvlText w:val="%1.%2.%3.%4."/>
      <w:lvlJc w:val="right"/>
      <w:pPr>
        <w:ind w:left="2880" w:hanging="360"/>
      </w:pPr>
      <w:rPr>
        <w:rFonts w:ascii="Calibri" w:cs="Calibri" w:eastAsia="Calibri" w:hAnsi="Calibri"/>
        <w:u w:val="none"/>
        <w:vertAlign w:val="baseline"/>
      </w:rPr>
    </w:lvl>
    <w:lvl w:ilvl="4">
      <w:start w:val="1"/>
      <w:numFmt w:val="decimal"/>
      <w:lvlText w:val="%1.%2.%3.%4.%5."/>
      <w:lvlJc w:val="right"/>
      <w:pPr>
        <w:ind w:left="3600" w:hanging="360"/>
      </w:pPr>
      <w:rPr>
        <w:u w:val="none"/>
        <w:vertAlign w:val="baseline"/>
      </w:rPr>
    </w:lvl>
    <w:lvl w:ilvl="5">
      <w:start w:val="1"/>
      <w:numFmt w:val="decimal"/>
      <w:lvlText w:val="%1.%2.%3.%4.%5.%6."/>
      <w:lvlJc w:val="right"/>
      <w:pPr>
        <w:ind w:left="4320" w:hanging="360"/>
      </w:pPr>
      <w:rPr>
        <w:u w:val="none"/>
        <w:vertAlign w:val="baseline"/>
      </w:rPr>
    </w:lvl>
    <w:lvl w:ilvl="6">
      <w:start w:val="1"/>
      <w:numFmt w:val="decimal"/>
      <w:lvlText w:val="%1.%2.%3.%4.%5.%6.%7."/>
      <w:lvlJc w:val="right"/>
      <w:pPr>
        <w:ind w:left="5040" w:hanging="360"/>
      </w:pPr>
      <w:rPr>
        <w:u w:val="none"/>
        <w:vertAlign w:val="baseline"/>
      </w:rPr>
    </w:lvl>
    <w:lvl w:ilvl="7">
      <w:start w:val="1"/>
      <w:numFmt w:val="decimal"/>
      <w:lvlText w:val="%1.%2.%3.%4.%5.%6.%7.%8."/>
      <w:lvlJc w:val="right"/>
      <w:pPr>
        <w:ind w:left="5760" w:hanging="360"/>
      </w:pPr>
      <w:rPr>
        <w:u w:val="none"/>
        <w:vertAlign w:val="baseline"/>
      </w:rPr>
    </w:lvl>
    <w:lvl w:ilvl="8">
      <w:start w:val="1"/>
      <w:numFmt w:val="decimal"/>
      <w:lvlText w:val="%1.%2.%3.%4.%5.%6.%7.%8.%9."/>
      <w:lvlJc w:val="right"/>
      <w:pPr>
        <w:ind w:left="6480" w:hanging="360"/>
      </w:pPr>
      <w:rPr>
        <w:u w:val="none"/>
        <w:vertAlign w:val="baseline"/>
      </w:rPr>
    </w:lvl>
  </w:abstractNum>
  <w:abstractNum w:abstractNumId="2">
    <w:lvl w:ilvl="0">
      <w:start w:val="8"/>
      <w:numFmt w:val="decimal"/>
      <w:lvlText w:val="%1."/>
      <w:lvlJc w:val="right"/>
      <w:pPr>
        <w:ind w:left="720" w:hanging="360"/>
      </w:pPr>
      <w:rPr>
        <w:u w:val="none"/>
        <w:vertAlign w:val="baseline"/>
      </w:rPr>
    </w:lvl>
    <w:lvl w:ilvl="1">
      <w:start w:val="1"/>
      <w:numFmt w:val="decimal"/>
      <w:lvlText w:val="%1.%2."/>
      <w:lvlJc w:val="right"/>
      <w:pPr>
        <w:ind w:left="1440" w:hanging="360"/>
      </w:pPr>
      <w:rPr>
        <w:u w:val="none"/>
        <w:vertAlign w:val="baseline"/>
      </w:rPr>
    </w:lvl>
    <w:lvl w:ilvl="2">
      <w:start w:val="1"/>
      <w:numFmt w:val="decimal"/>
      <w:lvlText w:val="%1.%2.%3."/>
      <w:lvlJc w:val="right"/>
      <w:pPr>
        <w:ind w:left="2160" w:hanging="360"/>
      </w:pPr>
      <w:rPr>
        <w:u w:val="none"/>
        <w:vertAlign w:val="baseline"/>
      </w:rPr>
    </w:lvl>
    <w:lvl w:ilvl="3">
      <w:start w:val="1"/>
      <w:numFmt w:val="decimal"/>
      <w:lvlText w:val="%1.%2.%3.%4."/>
      <w:lvlJc w:val="right"/>
      <w:pPr>
        <w:ind w:left="2880" w:hanging="360"/>
      </w:pPr>
      <w:rPr>
        <w:u w:val="none"/>
        <w:vertAlign w:val="baseline"/>
      </w:rPr>
    </w:lvl>
    <w:lvl w:ilvl="4">
      <w:start w:val="1"/>
      <w:numFmt w:val="decimal"/>
      <w:lvlText w:val="%1.%2.%3.%4.%5."/>
      <w:lvlJc w:val="right"/>
      <w:pPr>
        <w:ind w:left="3600" w:hanging="360"/>
      </w:pPr>
      <w:rPr>
        <w:u w:val="none"/>
        <w:vertAlign w:val="baseline"/>
      </w:rPr>
    </w:lvl>
    <w:lvl w:ilvl="5">
      <w:start w:val="1"/>
      <w:numFmt w:val="decimal"/>
      <w:lvlText w:val="%1.%2.%3.%4.%5.%6."/>
      <w:lvlJc w:val="right"/>
      <w:pPr>
        <w:ind w:left="4320" w:hanging="360"/>
      </w:pPr>
      <w:rPr>
        <w:u w:val="none"/>
        <w:vertAlign w:val="baseline"/>
      </w:rPr>
    </w:lvl>
    <w:lvl w:ilvl="6">
      <w:start w:val="1"/>
      <w:numFmt w:val="decimal"/>
      <w:lvlText w:val="%1.%2.%3.%4.%5.%6.%7."/>
      <w:lvlJc w:val="right"/>
      <w:pPr>
        <w:ind w:left="5040" w:hanging="360"/>
      </w:pPr>
      <w:rPr>
        <w:u w:val="none"/>
        <w:vertAlign w:val="baseline"/>
      </w:rPr>
    </w:lvl>
    <w:lvl w:ilvl="7">
      <w:start w:val="1"/>
      <w:numFmt w:val="decimal"/>
      <w:lvlText w:val="%1.%2.%3.%4.%5.%6.%7.%8."/>
      <w:lvlJc w:val="right"/>
      <w:pPr>
        <w:ind w:left="5760" w:hanging="360"/>
      </w:pPr>
      <w:rPr>
        <w:u w:val="none"/>
        <w:vertAlign w:val="baseline"/>
      </w:rPr>
    </w:lvl>
    <w:lvl w:ilvl="8">
      <w:start w:val="1"/>
      <w:numFmt w:val="decimal"/>
      <w:lvlText w:val="%1.%2.%3.%4.%5.%6.%7.%8.%9."/>
      <w:lvlJc w:val="right"/>
      <w:pPr>
        <w:ind w:left="6480" w:hanging="360"/>
      </w:pPr>
      <w:rPr>
        <w:u w:val="none"/>
        <w:vertAlign w:val="baseline"/>
      </w:rPr>
    </w:lvl>
  </w:abstractNum>
  <w:abstractNum w:abstractNumId="3">
    <w:lvl w:ilvl="0">
      <w:start w:val="6"/>
      <w:numFmt w:val="decimal"/>
      <w:lvlText w:val="%1."/>
      <w:lvlJc w:val="right"/>
      <w:pPr>
        <w:ind w:left="720" w:hanging="360"/>
      </w:pPr>
      <w:rPr>
        <w:u w:val="none"/>
        <w:vertAlign w:val="baseline"/>
      </w:rPr>
    </w:lvl>
    <w:lvl w:ilvl="1">
      <w:start w:val="1"/>
      <w:numFmt w:val="decimal"/>
      <w:lvlText w:val="%1.%2."/>
      <w:lvlJc w:val="right"/>
      <w:pPr>
        <w:ind w:left="1440" w:hanging="360"/>
      </w:pPr>
      <w:rPr>
        <w:u w:val="none"/>
        <w:vertAlign w:val="baseline"/>
      </w:rPr>
    </w:lvl>
    <w:lvl w:ilvl="2">
      <w:start w:val="1"/>
      <w:numFmt w:val="decimal"/>
      <w:lvlText w:val="%1.%2.%3."/>
      <w:lvlJc w:val="right"/>
      <w:pPr>
        <w:ind w:left="2160" w:hanging="360"/>
      </w:pPr>
      <w:rPr>
        <w:u w:val="none"/>
        <w:vertAlign w:val="baseline"/>
      </w:rPr>
    </w:lvl>
    <w:lvl w:ilvl="3">
      <w:start w:val="1"/>
      <w:numFmt w:val="decimal"/>
      <w:lvlText w:val="%1.%2.%3.%4."/>
      <w:lvlJc w:val="right"/>
      <w:pPr>
        <w:ind w:left="2880" w:hanging="360"/>
      </w:pPr>
      <w:rPr>
        <w:u w:val="none"/>
        <w:vertAlign w:val="baseline"/>
      </w:rPr>
    </w:lvl>
    <w:lvl w:ilvl="4">
      <w:start w:val="1"/>
      <w:numFmt w:val="decimal"/>
      <w:lvlText w:val="%1.%2.%3.%4.%5."/>
      <w:lvlJc w:val="right"/>
      <w:pPr>
        <w:ind w:left="3600" w:hanging="360"/>
      </w:pPr>
      <w:rPr>
        <w:u w:val="none"/>
        <w:vertAlign w:val="baseline"/>
      </w:rPr>
    </w:lvl>
    <w:lvl w:ilvl="5">
      <w:start w:val="1"/>
      <w:numFmt w:val="decimal"/>
      <w:lvlText w:val="%1.%2.%3.%4.%5.%6."/>
      <w:lvlJc w:val="right"/>
      <w:pPr>
        <w:ind w:left="4320" w:hanging="360"/>
      </w:pPr>
      <w:rPr>
        <w:u w:val="none"/>
        <w:vertAlign w:val="baseline"/>
      </w:rPr>
    </w:lvl>
    <w:lvl w:ilvl="6">
      <w:start w:val="1"/>
      <w:numFmt w:val="decimal"/>
      <w:lvlText w:val="%1.%2.%3.%4.%5.%6.%7."/>
      <w:lvlJc w:val="right"/>
      <w:pPr>
        <w:ind w:left="5040" w:hanging="360"/>
      </w:pPr>
      <w:rPr>
        <w:u w:val="none"/>
        <w:vertAlign w:val="baseline"/>
      </w:rPr>
    </w:lvl>
    <w:lvl w:ilvl="7">
      <w:start w:val="1"/>
      <w:numFmt w:val="decimal"/>
      <w:lvlText w:val="%1.%2.%3.%4.%5.%6.%7.%8."/>
      <w:lvlJc w:val="right"/>
      <w:pPr>
        <w:ind w:left="5760" w:hanging="360"/>
      </w:pPr>
      <w:rPr>
        <w:u w:val="none"/>
        <w:vertAlign w:val="baseline"/>
      </w:rPr>
    </w:lvl>
    <w:lvl w:ilvl="8">
      <w:start w:val="1"/>
      <w:numFmt w:val="decimal"/>
      <w:lvlText w:val="%1.%2.%3.%4.%5.%6.%7.%8.%9."/>
      <w:lvlJc w:val="right"/>
      <w:pPr>
        <w:ind w:left="6480" w:hanging="360"/>
      </w:pPr>
      <w:rPr>
        <w:u w:val="none"/>
        <w:vertAlign w:val="baseline"/>
      </w:rPr>
    </w:lvl>
  </w:abstractNum>
  <w:abstractNum w:abstractNumId="4">
    <w:lvl w:ilvl="0">
      <w:start w:val="7"/>
      <w:numFmt w:val="decimal"/>
      <w:lvlText w:val="%1."/>
      <w:lvlJc w:val="right"/>
      <w:pPr>
        <w:ind w:left="720" w:hanging="360"/>
      </w:pPr>
      <w:rPr>
        <w:u w:val="none"/>
        <w:vertAlign w:val="baseline"/>
      </w:rPr>
    </w:lvl>
    <w:lvl w:ilvl="1">
      <w:start w:val="1"/>
      <w:numFmt w:val="decimal"/>
      <w:lvlText w:val="%1.%2."/>
      <w:lvlJc w:val="right"/>
      <w:pPr>
        <w:ind w:left="1440" w:hanging="360"/>
      </w:pPr>
      <w:rPr>
        <w:u w:val="none"/>
        <w:vertAlign w:val="baseline"/>
      </w:rPr>
    </w:lvl>
    <w:lvl w:ilvl="2">
      <w:start w:val="1"/>
      <w:numFmt w:val="decimal"/>
      <w:lvlText w:val="%1.%2.%3."/>
      <w:lvlJc w:val="right"/>
      <w:pPr>
        <w:ind w:left="2160" w:hanging="360"/>
      </w:pPr>
      <w:rPr>
        <w:u w:val="none"/>
        <w:vertAlign w:val="baseline"/>
      </w:rPr>
    </w:lvl>
    <w:lvl w:ilvl="3">
      <w:start w:val="1"/>
      <w:numFmt w:val="decimal"/>
      <w:lvlText w:val="%1.%2.%3.%4."/>
      <w:lvlJc w:val="right"/>
      <w:pPr>
        <w:ind w:left="2880" w:hanging="360"/>
      </w:pPr>
      <w:rPr>
        <w:u w:val="none"/>
        <w:vertAlign w:val="baseline"/>
      </w:rPr>
    </w:lvl>
    <w:lvl w:ilvl="4">
      <w:start w:val="1"/>
      <w:numFmt w:val="decimal"/>
      <w:lvlText w:val="%1.%2.%3.%4.%5."/>
      <w:lvlJc w:val="right"/>
      <w:pPr>
        <w:ind w:left="3600" w:hanging="360"/>
      </w:pPr>
      <w:rPr>
        <w:u w:val="none"/>
        <w:vertAlign w:val="baseline"/>
      </w:rPr>
    </w:lvl>
    <w:lvl w:ilvl="5">
      <w:start w:val="1"/>
      <w:numFmt w:val="decimal"/>
      <w:lvlText w:val="%1.%2.%3.%4.%5.%6."/>
      <w:lvlJc w:val="right"/>
      <w:pPr>
        <w:ind w:left="4320" w:hanging="360"/>
      </w:pPr>
      <w:rPr>
        <w:u w:val="none"/>
        <w:vertAlign w:val="baseline"/>
      </w:rPr>
    </w:lvl>
    <w:lvl w:ilvl="6">
      <w:start w:val="1"/>
      <w:numFmt w:val="decimal"/>
      <w:lvlText w:val="%1.%2.%3.%4.%5.%6.%7."/>
      <w:lvlJc w:val="right"/>
      <w:pPr>
        <w:ind w:left="5040" w:hanging="360"/>
      </w:pPr>
      <w:rPr>
        <w:u w:val="none"/>
        <w:vertAlign w:val="baseline"/>
      </w:rPr>
    </w:lvl>
    <w:lvl w:ilvl="7">
      <w:start w:val="1"/>
      <w:numFmt w:val="decimal"/>
      <w:lvlText w:val="%1.%2.%3.%4.%5.%6.%7.%8."/>
      <w:lvlJc w:val="right"/>
      <w:pPr>
        <w:ind w:left="5760" w:hanging="360"/>
      </w:pPr>
      <w:rPr>
        <w:u w:val="none"/>
        <w:vertAlign w:val="baseline"/>
      </w:rPr>
    </w:lvl>
    <w:lvl w:ilvl="8">
      <w:start w:val="1"/>
      <w:numFmt w:val="decimal"/>
      <w:lvlText w:val="%1.%2.%3.%4.%5.%6.%7.%8.%9."/>
      <w:lvlJc w:val="right"/>
      <w:pPr>
        <w:ind w:left="6480" w:hanging="360"/>
      </w:pPr>
      <w:rPr>
        <w:u w:val="none"/>
        <w:vertAlign w:val="baseline"/>
      </w:rPr>
    </w:lvl>
  </w:abstractNum>
  <w:abstractNum w:abstractNumId="5">
    <w:lvl w:ilvl="0">
      <w:start w:val="9"/>
      <w:numFmt w:val="decimal"/>
      <w:lvlText w:val="%1."/>
      <w:lvlJc w:val="right"/>
      <w:pPr>
        <w:ind w:left="720" w:hanging="360"/>
      </w:pPr>
      <w:rPr>
        <w:u w:val="none"/>
        <w:vertAlign w:val="baseline"/>
      </w:rPr>
    </w:lvl>
    <w:lvl w:ilvl="1">
      <w:start w:val="1"/>
      <w:numFmt w:val="decimal"/>
      <w:lvlText w:val="%1.%2."/>
      <w:lvlJc w:val="right"/>
      <w:pPr>
        <w:ind w:left="1440" w:hanging="360"/>
      </w:pPr>
      <w:rPr>
        <w:rFonts w:ascii="Calibri" w:cs="Calibri" w:eastAsia="Calibri" w:hAnsi="Calibri"/>
        <w:u w:val="none"/>
        <w:vertAlign w:val="baseline"/>
      </w:rPr>
    </w:lvl>
    <w:lvl w:ilvl="2">
      <w:start w:val="1"/>
      <w:numFmt w:val="decimal"/>
      <w:lvlText w:val="%1.%2.%3."/>
      <w:lvlJc w:val="right"/>
      <w:pPr>
        <w:ind w:left="2160" w:hanging="360"/>
      </w:pPr>
      <w:rPr>
        <w:u w:val="none"/>
        <w:vertAlign w:val="baseline"/>
      </w:rPr>
    </w:lvl>
    <w:lvl w:ilvl="3">
      <w:start w:val="1"/>
      <w:numFmt w:val="decimal"/>
      <w:lvlText w:val="%1.%2.%3.%4."/>
      <w:lvlJc w:val="right"/>
      <w:pPr>
        <w:ind w:left="2880" w:hanging="360"/>
      </w:pPr>
      <w:rPr>
        <w:u w:val="none"/>
        <w:vertAlign w:val="baseline"/>
      </w:rPr>
    </w:lvl>
    <w:lvl w:ilvl="4">
      <w:start w:val="1"/>
      <w:numFmt w:val="decimal"/>
      <w:lvlText w:val="%1.%2.%3.%4.%5."/>
      <w:lvlJc w:val="right"/>
      <w:pPr>
        <w:ind w:left="3600" w:hanging="360"/>
      </w:pPr>
      <w:rPr>
        <w:u w:val="none"/>
        <w:vertAlign w:val="baseline"/>
      </w:rPr>
    </w:lvl>
    <w:lvl w:ilvl="5">
      <w:start w:val="1"/>
      <w:numFmt w:val="decimal"/>
      <w:lvlText w:val="%1.%2.%3.%4.%5.%6."/>
      <w:lvlJc w:val="right"/>
      <w:pPr>
        <w:ind w:left="4320" w:hanging="360"/>
      </w:pPr>
      <w:rPr>
        <w:u w:val="none"/>
        <w:vertAlign w:val="baseline"/>
      </w:rPr>
    </w:lvl>
    <w:lvl w:ilvl="6">
      <w:start w:val="1"/>
      <w:numFmt w:val="decimal"/>
      <w:lvlText w:val="%1.%2.%3.%4.%5.%6.%7."/>
      <w:lvlJc w:val="right"/>
      <w:pPr>
        <w:ind w:left="5040" w:hanging="360"/>
      </w:pPr>
      <w:rPr>
        <w:u w:val="none"/>
        <w:vertAlign w:val="baseline"/>
      </w:rPr>
    </w:lvl>
    <w:lvl w:ilvl="7">
      <w:start w:val="1"/>
      <w:numFmt w:val="decimal"/>
      <w:lvlText w:val="%1.%2.%3.%4.%5.%6.%7.%8."/>
      <w:lvlJc w:val="right"/>
      <w:pPr>
        <w:ind w:left="5760" w:hanging="360"/>
      </w:pPr>
      <w:rPr>
        <w:u w:val="none"/>
        <w:vertAlign w:val="baseline"/>
      </w:rPr>
    </w:lvl>
    <w:lvl w:ilvl="8">
      <w:start w:val="1"/>
      <w:numFmt w:val="decimal"/>
      <w:lvlText w:val="%1.%2.%3.%4.%5.%6.%7.%8.%9."/>
      <w:lvlJc w:val="right"/>
      <w:pPr>
        <w:ind w:left="6480" w:hanging="360"/>
      </w:pPr>
      <w:rPr>
        <w:u w:val="none"/>
        <w:vertAlign w:val="baseline"/>
      </w:rPr>
    </w:lvl>
  </w:abstractNum>
  <w:abstractNum w:abstractNumId="6">
    <w:lvl w:ilvl="0">
      <w:start w:val="9"/>
      <w:numFmt w:val="decimal"/>
      <w:lvlText w:val="%1"/>
      <w:lvlJc w:val="left"/>
      <w:pPr>
        <w:ind w:left="360" w:hanging="360"/>
      </w:pPr>
      <w:rPr>
        <w:b w:val="1"/>
      </w:rPr>
    </w:lvl>
    <w:lvl w:ilvl="1">
      <w:start w:val="7"/>
      <w:numFmt w:val="decimal"/>
      <w:lvlText w:val="%1.%2"/>
      <w:lvlJc w:val="left"/>
      <w:pPr>
        <w:ind w:left="360" w:hanging="360"/>
      </w:pPr>
      <w:rPr>
        <w:rFonts w:ascii="Calibri" w:cs="Calibri" w:eastAsia="Calibri" w:hAnsi="Calibri"/>
        <w:b w:val="1"/>
        <w:sz w:val="22"/>
        <w:szCs w:val="22"/>
      </w:rPr>
    </w:lvl>
    <w:lvl w:ilvl="2">
      <w:start w:val="1"/>
      <w:numFmt w:val="decimal"/>
      <w:lvlText w:val="%1.%2.%3"/>
      <w:lvlJc w:val="left"/>
      <w:pPr>
        <w:ind w:left="720" w:hanging="720"/>
      </w:pPr>
      <w:rPr>
        <w:b w:val="1"/>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1"/>
      </w:rPr>
    </w:lvl>
    <w:lvl w:ilvl="5">
      <w:start w:val="1"/>
      <w:numFmt w:val="decimal"/>
      <w:lvlText w:val="%1.%2.%3.%4.%5.%6"/>
      <w:lvlJc w:val="left"/>
      <w:pPr>
        <w:ind w:left="1080" w:hanging="1080"/>
      </w:pPr>
      <w:rPr>
        <w:b w:val="1"/>
      </w:rPr>
    </w:lvl>
    <w:lvl w:ilvl="6">
      <w:start w:val="1"/>
      <w:numFmt w:val="decimal"/>
      <w:lvlText w:val="%1.%2.%3.%4.%5.%6.%7"/>
      <w:lvlJc w:val="left"/>
      <w:pPr>
        <w:ind w:left="1440" w:hanging="1440"/>
      </w:pPr>
      <w:rPr>
        <w:b w:val="1"/>
      </w:rPr>
    </w:lvl>
    <w:lvl w:ilvl="7">
      <w:start w:val="1"/>
      <w:numFmt w:val="decimal"/>
      <w:lvlText w:val="%1.%2.%3.%4.%5.%6.%7.%8"/>
      <w:lvlJc w:val="left"/>
      <w:pPr>
        <w:ind w:left="1440" w:hanging="1440"/>
      </w:pPr>
      <w:rPr>
        <w:b w:val="1"/>
      </w:rPr>
    </w:lvl>
    <w:lvl w:ilvl="8">
      <w:start w:val="1"/>
      <w:numFmt w:val="decimal"/>
      <w:lvlText w:val="%1.%2.%3.%4.%5.%6.%7.%8.%9"/>
      <w:lvlJc w:val="left"/>
      <w:pPr>
        <w:ind w:left="1440" w:hanging="1440"/>
      </w:pPr>
      <w:rPr>
        <w:b w:val="1"/>
      </w:rPr>
    </w:lvl>
  </w:abstractNum>
  <w:abstractNum w:abstractNumId="7">
    <w:lvl w:ilvl="0">
      <w:start w:val="2"/>
      <w:numFmt w:val="decimal"/>
      <w:lvlText w:val="%1"/>
      <w:lvlJc w:val="left"/>
      <w:pPr>
        <w:ind w:left="780" w:hanging="780"/>
      </w:pPr>
      <w:rPr>
        <w:sz w:val="22"/>
        <w:szCs w:val="22"/>
      </w:rPr>
    </w:lvl>
    <w:lvl w:ilvl="1">
      <w:start w:val="2"/>
      <w:numFmt w:val="decimal"/>
      <w:lvlText w:val="%1.%2"/>
      <w:lvlJc w:val="left"/>
      <w:pPr>
        <w:ind w:left="780" w:hanging="780"/>
      </w:pPr>
      <w:rPr>
        <w:sz w:val="22"/>
        <w:szCs w:val="22"/>
      </w:rPr>
    </w:lvl>
    <w:lvl w:ilvl="2">
      <w:start w:val="5"/>
      <w:numFmt w:val="decimal"/>
      <w:lvlText w:val="%1.%2.%3"/>
      <w:lvlJc w:val="left"/>
      <w:pPr>
        <w:ind w:left="780" w:hanging="780"/>
      </w:pPr>
      <w:rPr>
        <w:sz w:val="22"/>
        <w:szCs w:val="22"/>
      </w:rPr>
    </w:lvl>
    <w:lvl w:ilvl="3">
      <w:start w:val="3"/>
      <w:numFmt w:val="decimal"/>
      <w:lvlText w:val="%1.%2.%3.%4"/>
      <w:lvlJc w:val="left"/>
      <w:pPr>
        <w:ind w:left="780" w:hanging="780"/>
      </w:pPr>
      <w:rPr>
        <w:sz w:val="22"/>
        <w:szCs w:val="22"/>
      </w:rPr>
    </w:lvl>
    <w:lvl w:ilvl="4">
      <w:start w:val="1"/>
      <w:numFmt w:val="decimal"/>
      <w:lvlText w:val="%1.%2.%3.%4.%5"/>
      <w:lvlJc w:val="left"/>
      <w:pPr>
        <w:ind w:left="780" w:hanging="780"/>
      </w:pPr>
      <w:rPr>
        <w:sz w:val="22"/>
        <w:szCs w:val="22"/>
      </w:rPr>
    </w:lvl>
    <w:lvl w:ilvl="5">
      <w:start w:val="1"/>
      <w:numFmt w:val="decimal"/>
      <w:lvlText w:val="%1.%2.%3.%4.%5.%6"/>
      <w:lvlJc w:val="left"/>
      <w:pPr>
        <w:ind w:left="1080" w:hanging="1080"/>
      </w:pPr>
      <w:rPr>
        <w:sz w:val="22"/>
        <w:szCs w:val="22"/>
      </w:rPr>
    </w:lvl>
    <w:lvl w:ilvl="6">
      <w:start w:val="1"/>
      <w:numFmt w:val="decimal"/>
      <w:lvlText w:val="%1.%2.%3.%4.%5.%6.%7"/>
      <w:lvlJc w:val="left"/>
      <w:pPr>
        <w:ind w:left="1080" w:hanging="1080"/>
      </w:pPr>
      <w:rPr>
        <w:sz w:val="22"/>
        <w:szCs w:val="22"/>
      </w:rPr>
    </w:lvl>
    <w:lvl w:ilvl="7">
      <w:start w:val="1"/>
      <w:numFmt w:val="decimal"/>
      <w:lvlText w:val="%1.%2.%3.%4.%5.%6.%7.%8"/>
      <w:lvlJc w:val="left"/>
      <w:pPr>
        <w:ind w:left="1440" w:hanging="1440"/>
      </w:pPr>
      <w:rPr>
        <w:sz w:val="22"/>
        <w:szCs w:val="22"/>
      </w:rPr>
    </w:lvl>
    <w:lvl w:ilvl="8">
      <w:start w:val="1"/>
      <w:numFmt w:val="decimal"/>
      <w:lvlText w:val="%1.%2.%3.%4.%5.%6.%7.%8.%9"/>
      <w:lvlJc w:val="left"/>
      <w:pPr>
        <w:ind w:left="1440" w:hanging="1440"/>
      </w:pPr>
      <w:rPr>
        <w:sz w:val="22"/>
        <w:szCs w:val="22"/>
      </w:rPr>
    </w:lvl>
  </w:abstractNum>
  <w:abstractNum w:abstractNumId="8">
    <w:lvl w:ilvl="0">
      <w:start w:val="2"/>
      <w:numFmt w:val="decimal"/>
      <w:lvlText w:val="%1."/>
      <w:lvlJc w:val="right"/>
      <w:pPr>
        <w:ind w:left="720" w:hanging="360"/>
      </w:pPr>
      <w:rPr>
        <w:sz w:val="32"/>
        <w:szCs w:val="32"/>
        <w:u w:val="none"/>
        <w:vertAlign w:val="baseline"/>
      </w:rPr>
    </w:lvl>
    <w:lvl w:ilvl="1">
      <w:start w:val="1"/>
      <w:numFmt w:val="decimal"/>
      <w:lvlText w:val="%1.%2."/>
      <w:lvlJc w:val="right"/>
      <w:pPr>
        <w:ind w:left="1440" w:hanging="1014"/>
      </w:pPr>
      <w:rPr>
        <w:rFonts w:ascii="Calibri" w:cs="Calibri" w:eastAsia="Calibri" w:hAnsi="Calibri"/>
        <w:sz w:val="22"/>
        <w:szCs w:val="22"/>
        <w:u w:val="none"/>
        <w:vertAlign w:val="baseline"/>
      </w:rPr>
    </w:lvl>
    <w:lvl w:ilvl="2">
      <w:start w:val="1"/>
      <w:numFmt w:val="decimal"/>
      <w:lvlText w:val="%1.%2.%3."/>
      <w:lvlJc w:val="right"/>
      <w:pPr>
        <w:ind w:left="2160" w:hanging="1309"/>
      </w:pPr>
      <w:rPr>
        <w:strike w:val="0"/>
        <w:sz w:val="22"/>
        <w:szCs w:val="22"/>
        <w:u w:val="none"/>
        <w:vertAlign w:val="baseline"/>
      </w:rPr>
    </w:lvl>
    <w:lvl w:ilvl="3">
      <w:start w:val="1"/>
      <w:numFmt w:val="decimal"/>
      <w:lvlText w:val="%1.%2.%3.%4."/>
      <w:lvlJc w:val="right"/>
      <w:pPr>
        <w:ind w:left="2880" w:hanging="360"/>
      </w:pPr>
      <w:rPr>
        <w:sz w:val="22"/>
        <w:szCs w:val="22"/>
        <w:u w:val="none"/>
        <w:vertAlign w:val="baseline"/>
      </w:rPr>
    </w:lvl>
    <w:lvl w:ilvl="4">
      <w:start w:val="1"/>
      <w:numFmt w:val="decimal"/>
      <w:lvlText w:val="%1.%2.%3.%4.%5."/>
      <w:lvlJc w:val="right"/>
      <w:pPr>
        <w:ind w:left="3600" w:hanging="360"/>
      </w:pPr>
      <w:rPr>
        <w:sz w:val="22"/>
        <w:szCs w:val="22"/>
        <w:u w:val="none"/>
        <w:vertAlign w:val="baseline"/>
      </w:rPr>
    </w:lvl>
    <w:lvl w:ilvl="5">
      <w:start w:val="1"/>
      <w:numFmt w:val="decimal"/>
      <w:lvlText w:val="%1.%2.%3.%4.%5.%6."/>
      <w:lvlJc w:val="right"/>
      <w:pPr>
        <w:ind w:left="4320" w:hanging="360"/>
      </w:pPr>
      <w:rPr>
        <w:sz w:val="22"/>
        <w:szCs w:val="22"/>
        <w:u w:val="none"/>
        <w:vertAlign w:val="baseline"/>
      </w:rPr>
    </w:lvl>
    <w:lvl w:ilvl="6">
      <w:start w:val="1"/>
      <w:numFmt w:val="decimal"/>
      <w:lvlText w:val="%1.%2.%3.%4.%5.%6.%7."/>
      <w:lvlJc w:val="right"/>
      <w:pPr>
        <w:ind w:left="5040" w:hanging="360"/>
      </w:pPr>
      <w:rPr>
        <w:u w:val="none"/>
        <w:vertAlign w:val="baseline"/>
      </w:rPr>
    </w:lvl>
    <w:lvl w:ilvl="7">
      <w:start w:val="1"/>
      <w:numFmt w:val="decimal"/>
      <w:lvlText w:val="%1.%2.%3.%4.%5.%6.%7.%8."/>
      <w:lvlJc w:val="right"/>
      <w:pPr>
        <w:ind w:left="5760" w:hanging="360"/>
      </w:pPr>
      <w:rPr>
        <w:u w:val="none"/>
        <w:vertAlign w:val="baseline"/>
      </w:rPr>
    </w:lvl>
    <w:lvl w:ilvl="8">
      <w:start w:val="1"/>
      <w:numFmt w:val="decimal"/>
      <w:lvlText w:val="%1.%2.%3.%4.%5.%6.%7.%8.%9."/>
      <w:lvlJc w:val="right"/>
      <w:pPr>
        <w:ind w:left="6480" w:hanging="360"/>
      </w:pPr>
      <w:rPr>
        <w:u w:val="none"/>
        <w:vertAlign w:val="baseline"/>
      </w:rPr>
    </w:lvl>
  </w:abstractNum>
  <w:abstractNum w:abstractNumId="9">
    <w:lvl w:ilvl="0">
      <w:start w:val="5"/>
      <w:numFmt w:val="decimal"/>
      <w:lvlText w:val="%1."/>
      <w:lvlJc w:val="right"/>
      <w:pPr>
        <w:ind w:left="720" w:hanging="360"/>
      </w:pPr>
      <w:rPr>
        <w:u w:val="none"/>
        <w:vertAlign w:val="baseline"/>
      </w:rPr>
    </w:lvl>
    <w:lvl w:ilvl="1">
      <w:start w:val="1"/>
      <w:numFmt w:val="decimal"/>
      <w:lvlText w:val="%1.%2."/>
      <w:lvlJc w:val="right"/>
      <w:pPr>
        <w:ind w:left="1440" w:hanging="360"/>
      </w:pPr>
      <w:rPr>
        <w:u w:val="none"/>
        <w:vertAlign w:val="baseline"/>
      </w:rPr>
    </w:lvl>
    <w:lvl w:ilvl="2">
      <w:start w:val="1"/>
      <w:numFmt w:val="decimal"/>
      <w:lvlText w:val="%1.%2.%3."/>
      <w:lvlJc w:val="right"/>
      <w:pPr>
        <w:ind w:left="2160" w:hanging="360"/>
      </w:pPr>
      <w:rPr>
        <w:u w:val="none"/>
        <w:vertAlign w:val="baseline"/>
      </w:rPr>
    </w:lvl>
    <w:lvl w:ilvl="3">
      <w:start w:val="1"/>
      <w:numFmt w:val="decimal"/>
      <w:lvlText w:val="%1.%2.%3.%4."/>
      <w:lvlJc w:val="right"/>
      <w:pPr>
        <w:ind w:left="2880" w:hanging="360"/>
      </w:pPr>
      <w:rPr>
        <w:u w:val="none"/>
        <w:vertAlign w:val="baseline"/>
      </w:rPr>
    </w:lvl>
    <w:lvl w:ilvl="4">
      <w:start w:val="1"/>
      <w:numFmt w:val="decimal"/>
      <w:lvlText w:val="%1.%2.%3.%4.%5."/>
      <w:lvlJc w:val="right"/>
      <w:pPr>
        <w:ind w:left="3600" w:hanging="360"/>
      </w:pPr>
      <w:rPr>
        <w:u w:val="none"/>
        <w:vertAlign w:val="baseline"/>
      </w:rPr>
    </w:lvl>
    <w:lvl w:ilvl="5">
      <w:start w:val="1"/>
      <w:numFmt w:val="decimal"/>
      <w:lvlText w:val="%1.%2.%3.%4.%5.%6."/>
      <w:lvlJc w:val="right"/>
      <w:pPr>
        <w:ind w:left="4320" w:hanging="360"/>
      </w:pPr>
      <w:rPr>
        <w:u w:val="none"/>
        <w:vertAlign w:val="baseline"/>
      </w:rPr>
    </w:lvl>
    <w:lvl w:ilvl="6">
      <w:start w:val="1"/>
      <w:numFmt w:val="decimal"/>
      <w:lvlText w:val="%1.%2.%3.%4.%5.%6.%7."/>
      <w:lvlJc w:val="right"/>
      <w:pPr>
        <w:ind w:left="5040" w:hanging="360"/>
      </w:pPr>
      <w:rPr>
        <w:u w:val="none"/>
        <w:vertAlign w:val="baseline"/>
      </w:rPr>
    </w:lvl>
    <w:lvl w:ilvl="7">
      <w:start w:val="1"/>
      <w:numFmt w:val="decimal"/>
      <w:lvlText w:val="%1.%2.%3.%4.%5.%6.%7.%8."/>
      <w:lvlJc w:val="right"/>
      <w:pPr>
        <w:ind w:left="5760" w:hanging="360"/>
      </w:pPr>
      <w:rPr>
        <w:u w:val="none"/>
        <w:vertAlign w:val="baseline"/>
      </w:rPr>
    </w:lvl>
    <w:lvl w:ilvl="8">
      <w:start w:val="1"/>
      <w:numFmt w:val="decimal"/>
      <w:lvlText w:val="%1.%2.%3.%4.%5.%6.%7.%8.%9."/>
      <w:lvlJc w:val="right"/>
      <w:pPr>
        <w:ind w:left="6480" w:hanging="360"/>
      </w:pPr>
      <w:rPr>
        <w:u w:val="none"/>
        <w:vertAlign w:val="baseline"/>
      </w:rPr>
    </w:lvl>
  </w:abstractNum>
  <w:abstractNum w:abstractNumId="10">
    <w:lvl w:ilvl="0">
      <w:start w:val="3"/>
      <w:numFmt w:val="decimal"/>
      <w:lvlText w:val="%1."/>
      <w:lvlJc w:val="right"/>
      <w:pPr>
        <w:ind w:left="720" w:hanging="360"/>
      </w:pPr>
      <w:rPr>
        <w:b w:val="1"/>
        <w:u w:val="none"/>
        <w:vertAlign w:val="baseline"/>
      </w:rPr>
    </w:lvl>
    <w:lvl w:ilvl="1">
      <w:start w:val="1"/>
      <w:numFmt w:val="decimal"/>
      <w:lvlText w:val="%1.%2."/>
      <w:lvlJc w:val="right"/>
      <w:pPr>
        <w:ind w:left="1440" w:hanging="360"/>
      </w:pPr>
      <w:rPr>
        <w:u w:val="none"/>
        <w:vertAlign w:val="baseline"/>
      </w:rPr>
    </w:lvl>
    <w:lvl w:ilvl="2">
      <w:start w:val="1"/>
      <w:numFmt w:val="decimal"/>
      <w:lvlText w:val="%1.%2.%3."/>
      <w:lvlJc w:val="right"/>
      <w:pPr>
        <w:ind w:left="2160" w:hanging="360"/>
      </w:pPr>
      <w:rPr>
        <w:rFonts w:ascii="Calibri" w:cs="Calibri" w:eastAsia="Calibri" w:hAnsi="Calibri"/>
        <w:u w:val="none"/>
        <w:vertAlign w:val="baseline"/>
      </w:rPr>
    </w:lvl>
    <w:lvl w:ilvl="3">
      <w:start w:val="1"/>
      <w:numFmt w:val="decimal"/>
      <w:lvlText w:val="%1.%2.%3.%4."/>
      <w:lvlJc w:val="right"/>
      <w:pPr>
        <w:ind w:left="2880" w:hanging="360"/>
      </w:pPr>
      <w:rPr>
        <w:u w:val="none"/>
        <w:vertAlign w:val="baseline"/>
      </w:rPr>
    </w:lvl>
    <w:lvl w:ilvl="4">
      <w:start w:val="1"/>
      <w:numFmt w:val="decimal"/>
      <w:lvlText w:val="%1.%2.%3.%4.%5."/>
      <w:lvlJc w:val="right"/>
      <w:pPr>
        <w:ind w:left="3600" w:hanging="360"/>
      </w:pPr>
      <w:rPr>
        <w:u w:val="none"/>
        <w:vertAlign w:val="baseline"/>
      </w:rPr>
    </w:lvl>
    <w:lvl w:ilvl="5">
      <w:start w:val="1"/>
      <w:numFmt w:val="decimal"/>
      <w:lvlText w:val="%1.%2.%3.%4.%5.%6."/>
      <w:lvlJc w:val="right"/>
      <w:pPr>
        <w:ind w:left="4320" w:hanging="360"/>
      </w:pPr>
      <w:rPr>
        <w:u w:val="none"/>
        <w:vertAlign w:val="baseline"/>
      </w:rPr>
    </w:lvl>
    <w:lvl w:ilvl="6">
      <w:start w:val="1"/>
      <w:numFmt w:val="decimal"/>
      <w:lvlText w:val="%1.%2.%3.%4.%5.%6.%7."/>
      <w:lvlJc w:val="right"/>
      <w:pPr>
        <w:ind w:left="5040" w:hanging="360"/>
      </w:pPr>
      <w:rPr>
        <w:u w:val="none"/>
        <w:vertAlign w:val="baseline"/>
      </w:rPr>
    </w:lvl>
    <w:lvl w:ilvl="7">
      <w:start w:val="1"/>
      <w:numFmt w:val="decimal"/>
      <w:lvlText w:val="%1.%2.%3.%4.%5.%6.%7.%8."/>
      <w:lvlJc w:val="right"/>
      <w:pPr>
        <w:ind w:left="5760" w:hanging="360"/>
      </w:pPr>
      <w:rPr>
        <w:u w:val="none"/>
        <w:vertAlign w:val="baseline"/>
      </w:rPr>
    </w:lvl>
    <w:lvl w:ilvl="8">
      <w:start w:val="1"/>
      <w:numFmt w:val="decimal"/>
      <w:lvlText w:val="%1.%2.%3.%4.%5.%6.%7.%8.%9."/>
      <w:lvlJc w:val="right"/>
      <w:pPr>
        <w:ind w:left="6480" w:hanging="360"/>
      </w:pPr>
      <w:rPr>
        <w:u w:val="none"/>
        <w:vertAlign w:val="baseline"/>
      </w:rPr>
    </w:lvl>
  </w:abstractNum>
  <w:abstractNum w:abstractNumId="11">
    <w:lvl w:ilvl="0">
      <w:start w:val="2"/>
      <w:numFmt w:val="decimal"/>
      <w:lvlText w:val="%1"/>
      <w:lvlJc w:val="left"/>
      <w:pPr>
        <w:ind w:left="705" w:hanging="705"/>
      </w:pPr>
      <w:rPr>
        <w:sz w:val="22"/>
        <w:szCs w:val="22"/>
      </w:rPr>
    </w:lvl>
    <w:lvl w:ilvl="1">
      <w:start w:val="5"/>
      <w:numFmt w:val="decimal"/>
      <w:lvlText w:val="%1.%2"/>
      <w:lvlJc w:val="left"/>
      <w:pPr>
        <w:ind w:left="705" w:hanging="705"/>
      </w:pPr>
      <w:rPr>
        <w:sz w:val="22"/>
        <w:szCs w:val="22"/>
      </w:rPr>
    </w:lvl>
    <w:lvl w:ilvl="2">
      <w:start w:val="12"/>
      <w:numFmt w:val="decimal"/>
      <w:lvlText w:val="%1.%2.%3"/>
      <w:lvlJc w:val="left"/>
      <w:pPr>
        <w:ind w:left="720" w:hanging="720"/>
      </w:pPr>
      <w:rPr>
        <w:sz w:val="22"/>
        <w:szCs w:val="22"/>
      </w:rPr>
    </w:lvl>
    <w:lvl w:ilvl="3">
      <w:start w:val="1"/>
      <w:numFmt w:val="decimal"/>
      <w:lvlText w:val="%1.%2.%3.%4"/>
      <w:lvlJc w:val="left"/>
      <w:pPr>
        <w:ind w:left="720" w:hanging="720"/>
      </w:pPr>
      <w:rPr>
        <w:sz w:val="22"/>
        <w:szCs w:val="22"/>
      </w:rPr>
    </w:lvl>
    <w:lvl w:ilvl="4">
      <w:start w:val="1"/>
      <w:numFmt w:val="decimal"/>
      <w:lvlText w:val="%1.%2.%3.%4.%5"/>
      <w:lvlJc w:val="left"/>
      <w:pPr>
        <w:ind w:left="720" w:hanging="720"/>
      </w:pPr>
      <w:rPr>
        <w:sz w:val="22"/>
        <w:szCs w:val="22"/>
      </w:rPr>
    </w:lvl>
    <w:lvl w:ilvl="5">
      <w:start w:val="1"/>
      <w:numFmt w:val="decimal"/>
      <w:lvlText w:val="%1.%2.%3.%4.%5.%6"/>
      <w:lvlJc w:val="left"/>
      <w:pPr>
        <w:ind w:left="1080" w:hanging="1080"/>
      </w:pPr>
      <w:rPr>
        <w:sz w:val="22"/>
        <w:szCs w:val="22"/>
      </w:rPr>
    </w:lvl>
    <w:lvl w:ilvl="6">
      <w:start w:val="1"/>
      <w:numFmt w:val="decimal"/>
      <w:lvlText w:val="%1.%2.%3.%4.%5.%6.%7"/>
      <w:lvlJc w:val="left"/>
      <w:pPr>
        <w:ind w:left="1080" w:hanging="1080"/>
      </w:pPr>
      <w:rPr>
        <w:sz w:val="22"/>
        <w:szCs w:val="22"/>
      </w:rPr>
    </w:lvl>
    <w:lvl w:ilvl="7">
      <w:start w:val="1"/>
      <w:numFmt w:val="decimal"/>
      <w:lvlText w:val="%1.%2.%3.%4.%5.%6.%7.%8"/>
      <w:lvlJc w:val="left"/>
      <w:pPr>
        <w:ind w:left="1440" w:hanging="1440"/>
      </w:pPr>
      <w:rPr>
        <w:sz w:val="22"/>
        <w:szCs w:val="22"/>
      </w:rPr>
    </w:lvl>
    <w:lvl w:ilvl="8">
      <w:start w:val="1"/>
      <w:numFmt w:val="decimal"/>
      <w:lvlText w:val="%1.%2.%3.%4.%5.%6.%7.%8.%9"/>
      <w:lvlJc w:val="left"/>
      <w:pPr>
        <w:ind w:left="1440" w:hanging="1440"/>
      </w:pPr>
      <w:rPr>
        <w:sz w:val="22"/>
        <w:szCs w:val="22"/>
      </w:rPr>
    </w:lvl>
  </w:abstractNum>
  <w:abstractNum w:abstractNumId="12">
    <w:lvl w:ilvl="0">
      <w:start w:val="2"/>
      <w:numFmt w:val="decimal"/>
      <w:lvlText w:val="%1"/>
      <w:lvlJc w:val="left"/>
      <w:pPr>
        <w:ind w:left="435" w:hanging="435"/>
      </w:pPr>
      <w:rPr/>
    </w:lvl>
    <w:lvl w:ilvl="1">
      <w:start w:val="6"/>
      <w:numFmt w:val="decimal"/>
      <w:lvlText w:val="%1.%2"/>
      <w:lvlJc w:val="left"/>
      <w:pPr>
        <w:ind w:left="648" w:hanging="435"/>
      </w:pPr>
      <w:rPr>
        <w:b w:val="1"/>
        <w:sz w:val="22"/>
        <w:szCs w:val="22"/>
      </w:rPr>
    </w:lvl>
    <w:lvl w:ilvl="2">
      <w:start w:val="1"/>
      <w:numFmt w:val="decimal"/>
      <w:lvlText w:val="%1.%2.%3"/>
      <w:lvlJc w:val="left"/>
      <w:pPr>
        <w:ind w:left="1146" w:hanging="720"/>
      </w:pPr>
      <w:rPr>
        <w:sz w:val="22"/>
        <w:szCs w:val="22"/>
      </w:rPr>
    </w:lvl>
    <w:lvl w:ilvl="3">
      <w:start w:val="1"/>
      <w:numFmt w:val="decimal"/>
      <w:lvlText w:val="%1.%2.%3.%4"/>
      <w:lvlJc w:val="left"/>
      <w:pPr>
        <w:ind w:left="1359" w:hanging="720"/>
      </w:pPr>
      <w:rPr>
        <w:sz w:val="22"/>
        <w:szCs w:val="22"/>
      </w:rPr>
    </w:lvl>
    <w:lvl w:ilvl="4">
      <w:start w:val="1"/>
      <w:numFmt w:val="decimal"/>
      <w:lvlText w:val="%1.%2.%3.%4.%5"/>
      <w:lvlJc w:val="left"/>
      <w:pPr>
        <w:ind w:left="1932" w:hanging="1080"/>
      </w:pPr>
      <w:rPr/>
    </w:lvl>
    <w:lvl w:ilvl="5">
      <w:start w:val="1"/>
      <w:numFmt w:val="decimal"/>
      <w:lvlText w:val="%1.%2.%3.%4.%5.%6"/>
      <w:lvlJc w:val="left"/>
      <w:pPr>
        <w:ind w:left="2145" w:hanging="1080"/>
      </w:pPr>
      <w:rPr>
        <w:sz w:val="22"/>
        <w:szCs w:val="22"/>
      </w:rPr>
    </w:lvl>
    <w:lvl w:ilvl="6">
      <w:start w:val="1"/>
      <w:numFmt w:val="decimal"/>
      <w:lvlText w:val="%1.%2.%3.%4.%5.%6.%7"/>
      <w:lvlJc w:val="left"/>
      <w:pPr>
        <w:ind w:left="2718" w:hanging="1440"/>
      </w:pPr>
      <w:rPr/>
    </w:lvl>
    <w:lvl w:ilvl="7">
      <w:start w:val="1"/>
      <w:numFmt w:val="decimal"/>
      <w:lvlText w:val="%1.%2.%3.%4.%5.%6.%7.%8"/>
      <w:lvlJc w:val="left"/>
      <w:pPr>
        <w:ind w:left="2931" w:hanging="1439.9999999999998"/>
      </w:pPr>
      <w:rPr/>
    </w:lvl>
    <w:lvl w:ilvl="8">
      <w:start w:val="1"/>
      <w:numFmt w:val="decimal"/>
      <w:lvlText w:val="%1.%2.%3.%4.%5.%6.%7.%8.%9"/>
      <w:lvlJc w:val="left"/>
      <w:pPr>
        <w:ind w:left="3144" w:hanging="1440.0000000000002"/>
      </w:pPr>
      <w:rPr/>
    </w:lvl>
  </w:abstractNum>
  <w:abstractNum w:abstractNumId="13">
    <w:lvl w:ilvl="0">
      <w:start w:val="4"/>
      <w:numFmt w:val="decimal"/>
      <w:lvlText w:val="%1"/>
      <w:lvlJc w:val="left"/>
      <w:pPr>
        <w:ind w:left="435" w:hanging="435"/>
      </w:pPr>
      <w:rPr/>
    </w:lvl>
    <w:lvl w:ilvl="1">
      <w:start w:val="4"/>
      <w:numFmt w:val="decimal"/>
      <w:lvlText w:val="%1.%2"/>
      <w:lvlJc w:val="left"/>
      <w:pPr>
        <w:ind w:left="435" w:hanging="435"/>
      </w:pPr>
      <w:rPr/>
    </w:lvl>
    <w:lvl w:ilvl="2">
      <w:start w:val="2"/>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abstractNum w:abstractNumId="14">
    <w:lvl w:ilvl="0">
      <w:start w:val="8"/>
      <w:numFmt w:val="decimal"/>
      <w:lvlText w:val="%1"/>
      <w:lvlJc w:val="left"/>
      <w:pPr>
        <w:ind w:left="435" w:hanging="435"/>
      </w:pPr>
      <w:rPr/>
    </w:lvl>
    <w:lvl w:ilvl="1">
      <w:start w:val="2"/>
      <w:numFmt w:val="decimal"/>
      <w:lvlText w:val="%1.%2"/>
      <w:lvlJc w:val="left"/>
      <w:pPr>
        <w:ind w:left="435" w:hanging="435"/>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color w:val="3b3a3d"/>
        <w:lang w:val="en-GB"/>
      </w:rPr>
    </w:rPrDefault>
    <w:pPrDefault>
      <w:pPr>
        <w:tabs>
          <w:tab w:val="left" w:leader="none" w:pos="709"/>
        </w:tabs>
        <w:spacing w:line="276" w:lineRule="auto"/>
        <w:ind w:hanging="1"/>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before="40" w:lineRule="auto"/>
    </w:pPr>
    <w:rPr>
      <w:rFonts w:ascii="Cambria" w:cs="Cambria" w:eastAsia="Cambria" w:hAnsi="Cambria"/>
      <w:color w:val="365f91"/>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spacing w:after="120" w:line="240" w:lineRule="auto"/>
      <w:ind w:left="697" w:hanging="570"/>
    </w:pPr>
    <w:rPr/>
  </w:style>
  <w:style w:type="paragraph" w:styleId="Heading6">
    <w:name w:val="heading 6"/>
    <w:basedOn w:val="Normal"/>
    <w:next w:val="Normal"/>
    <w:pPr>
      <w:spacing w:after="120" w:line="240" w:lineRule="auto"/>
      <w:ind w:left="697" w:hanging="570"/>
    </w:pPr>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line="240" w:lineRule="auto"/>
      <w:ind w:left="-30" w:hanging="357"/>
    </w:pPr>
    <w:rPr>
      <w:rFonts w:ascii="Times New Roman" w:cs="Times New Roman" w:eastAsia="Times New Roman" w:hAnsi="Times New Roman"/>
      <w:color w:val="000000"/>
      <w:sz w:val="24"/>
      <w:szCs w:val="24"/>
      <w:vertAlign w:val="baseline"/>
    </w:rPr>
    <w:tblPr>
      <w:tblStyleRowBandSize w:val="1"/>
      <w:tblStyleColBandSize w:val="1"/>
      <w:tblCellMar>
        <w:top w:w="100.0" w:type="dxa"/>
        <w:left w:w="100.0" w:type="dxa"/>
        <w:bottom w:w="100.0" w:type="dxa"/>
        <w:right w:w="100.0" w:type="dxa"/>
      </w:tblCellMar>
    </w:tblPr>
  </w:style>
  <w:style w:type="table" w:styleId="Table2">
    <w:basedOn w:val="TableNormal"/>
    <w:pPr>
      <w:pBdr>
        <w:top w:space="0" w:sz="0" w:val="nil"/>
        <w:left w:space="0" w:sz="0" w:val="nil"/>
        <w:bottom w:space="0" w:sz="0" w:val="nil"/>
        <w:right w:space="0" w:sz="0" w:val="nil"/>
        <w:between w:space="0" w:sz="0" w:val="nil"/>
      </w:pBdr>
      <w:spacing w:line="240" w:lineRule="auto"/>
      <w:ind w:left="-30" w:hanging="357"/>
    </w:pPr>
    <w:rPr>
      <w:rFonts w:ascii="Times New Roman" w:cs="Times New Roman" w:eastAsia="Times New Roman" w:hAnsi="Times New Roman"/>
      <w:color w:val="000000"/>
      <w:sz w:val="24"/>
      <w:szCs w:val="24"/>
      <w:vertAlign w:val="baseline"/>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gov.uk/government/publications/25-year-environment-plan" TargetMode="External"/><Relationship Id="rId22" Type="http://schemas.openxmlformats.org/officeDocument/2006/relationships/hyperlink" Target="https://www.gov.uk/service-manual/service-standard" TargetMode="External"/><Relationship Id="rId21" Type="http://schemas.openxmlformats.org/officeDocument/2006/relationships/hyperlink" Target="https://www.gov.uk/government/news/uk-enshrines-new-target-in-law-to-slash-emissions-by-78-by-2035" TargetMode="External"/><Relationship Id="rId24" Type="http://schemas.openxmlformats.org/officeDocument/2006/relationships/hyperlink" Target="https://www.gov.uk/government/publications/security-policy-framework/hmg-security-policy-framework" TargetMode="External"/><Relationship Id="rId23" Type="http://schemas.openxmlformats.org/officeDocument/2006/relationships/hyperlink" Target="https://www.ncsc.gov.uk/guidance/10-steps-cyber-security"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sfia-online.org/en" TargetMode="External"/><Relationship Id="rId26" Type="http://schemas.openxmlformats.org/officeDocument/2006/relationships/hyperlink" Target="https://www.gov.uk/government/publications/open-standards-for-government" TargetMode="External"/><Relationship Id="rId25" Type="http://schemas.openxmlformats.org/officeDocument/2006/relationships/hyperlink" Target="https://www.gov.uk/government/publications/open-standards-principles" TargetMode="External"/><Relationship Id="rId28" Type="http://schemas.openxmlformats.org/officeDocument/2006/relationships/header" Target="header3.xml"/><Relationship Id="rId27"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www.gov.uk/government/publications/open-standards-principles/open-standards-principles" TargetMode="External"/><Relationship Id="rId29" Type="http://schemas.openxmlformats.org/officeDocument/2006/relationships/header" Target="header2.xml"/><Relationship Id="rId7" Type="http://schemas.openxmlformats.org/officeDocument/2006/relationships/hyperlink" Target="https://www.gov.uk/service-manual" TargetMode="External"/><Relationship Id="rId8" Type="http://schemas.openxmlformats.org/officeDocument/2006/relationships/hyperlink" Target="https://www.gov.uk/service-manual/service-standard" TargetMode="External"/><Relationship Id="rId31" Type="http://schemas.openxmlformats.org/officeDocument/2006/relationships/footer" Target="footer2.xml"/><Relationship Id="rId30" Type="http://schemas.openxmlformats.org/officeDocument/2006/relationships/footer" Target="footer3.xml"/><Relationship Id="rId11" Type="http://schemas.openxmlformats.org/officeDocument/2006/relationships/hyperlink" Target="https://docs.google.com/document/d/1J-wz7oftOy7nvI4eMKMKjE7hLtQhvjRC/edit#heading=h.1t3h5sf" TargetMode="External"/><Relationship Id="rId10" Type="http://schemas.openxmlformats.org/officeDocument/2006/relationships/hyperlink" Target="https://www.gov.uk/government/publications/technology-code-of-practice/technology-code-of-practice" TargetMode="External"/><Relationship Id="rId32" Type="http://schemas.openxmlformats.org/officeDocument/2006/relationships/footer" Target="footer1.xml"/><Relationship Id="rId13" Type="http://schemas.openxmlformats.org/officeDocument/2006/relationships/hyperlink" Target="https://sfia-online.org" TargetMode="External"/><Relationship Id="rId12" Type="http://schemas.openxmlformats.org/officeDocument/2006/relationships/hyperlink" Target="https://docs.google.com/document/d/1J-wz7oftOy7nvI4eMKMKjE7hLtQhvjRC/edit#heading=h.1t3h5sf" TargetMode="External"/><Relationship Id="rId15" Type="http://schemas.openxmlformats.org/officeDocument/2006/relationships/hyperlink" Target="https://www.gov.uk/government/collections/civil-service-conduct-and-guidance" TargetMode="External"/><Relationship Id="rId14" Type="http://schemas.openxmlformats.org/officeDocument/2006/relationships/hyperlink" Target="http://standards.data.gov.uk/challenges/adopted" TargetMode="External"/><Relationship Id="rId17" Type="http://schemas.openxmlformats.org/officeDocument/2006/relationships/hyperlink" Target="https://www.gov.uk/government/publications/procurement-policy-note-0620-taking-account-of-social-value-in-the-award-of-central-government-contracts" TargetMode="External"/><Relationship Id="rId16" Type="http://schemas.openxmlformats.org/officeDocument/2006/relationships/hyperlink" Target="https://www.gov.uk/government/publications/social-value-act-introductory-guide" TargetMode="External"/><Relationship Id="rId19" Type="http://schemas.openxmlformats.org/officeDocument/2006/relationships/hyperlink" Target="https://www.ncsc.gov.uk/guidance/penetration-testing" TargetMode="External"/><Relationship Id="rId18" Type="http://schemas.openxmlformats.org/officeDocument/2006/relationships/hyperlink" Target="https://www.ncsc.gov.uk/information/using-check-provider"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76594897.2</vt:lpwstr>
  </property>
  <property fmtid="{D5CDD505-2E9C-101B-9397-08002B2CF9AE}" pid="3" name="MSIP_Label_f9af038e-07b4-4369-a678-c835687cb272_SetDate">
    <vt:lpwstr>2023-07-25T09:37:03Z</vt:lpwstr>
  </property>
  <property fmtid="{D5CDD505-2E9C-101B-9397-08002B2CF9AE}" pid="4" name="MSIP_Label_f9af038e-07b4-4369-a678-c835687cb272_ActionId">
    <vt:lpwstr>956e1935-aef6-42a2-b714-09103843145a</vt:lpwstr>
  </property>
  <property fmtid="{D5CDD505-2E9C-101B-9397-08002B2CF9AE}" pid="5" name="MSIP_Label_f9af038e-07b4-4369-a678-c835687cb272_Enabled">
    <vt:lpwstr>true</vt:lpwstr>
  </property>
  <property fmtid="{D5CDD505-2E9C-101B-9397-08002B2CF9AE}" pid="6" name="MSIP_Label_f9af038e-07b4-4369-a678-c835687cb272_SiteId">
    <vt:lpwstr>ac52f73c-fd1a-4a9a-8e7a-4a248f3139e1</vt:lpwstr>
  </property>
  <property fmtid="{D5CDD505-2E9C-101B-9397-08002B2CF9AE}" pid="7" name="gCurrentVersion">
    <vt:lpwstr>13 September 2017 D1V2</vt:lpwstr>
  </property>
  <property fmtid="{D5CDD505-2E9C-101B-9397-08002B2CF9AE}" pid="8" name="MSIP_Label_f9af038e-07b4-4369-a678-c835687cb272_ContentBits">
    <vt:lpwstr>2</vt:lpwstr>
  </property>
  <property fmtid="{D5CDD505-2E9C-101B-9397-08002B2CF9AE}" pid="9" name="MSIP_Label_f9af038e-07b4-4369-a678-c835687cb272_Name">
    <vt:lpwstr>OFFICIAL</vt:lpwstr>
  </property>
  <property fmtid="{D5CDD505-2E9C-101B-9397-08002B2CF9AE}" pid="10" name="MSIP_Label_f9af038e-07b4-4369-a678-c835687cb272_Method">
    <vt:lpwstr>Standard</vt:lpwstr>
  </property>
</Properties>
</file>